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29"/>
        <w:ind w:left="1" w:right="1" w:firstLine="0"/>
        <w:jc w:val="center"/>
        <w:rPr>
          <w:sz w:val="30"/>
        </w:rPr>
      </w:pPr>
      <w:r>
        <w:rPr>
          <w:sz w:val="30"/>
        </w:rPr>
        <mc:AlternateContent>
          <mc:Choice Requires="wps">
            <w:drawing>
              <wp:anchor distT="0" distB="0" distL="0" distR="0" allowOverlap="1" layoutInCell="1" locked="0" behindDoc="0" simplePos="0" relativeHeight="15729664">
                <wp:simplePos x="0" y="0"/>
                <wp:positionH relativeFrom="page">
                  <wp:posOffset>544322</wp:posOffset>
                </wp:positionH>
                <wp:positionV relativeFrom="paragraph">
                  <wp:posOffset>247001</wp:posOffset>
                </wp:positionV>
                <wp:extent cx="5998210" cy="50800"/>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5998210" cy="50800"/>
                        </a:xfrm>
                        <a:custGeom>
                          <a:avLst/>
                          <a:gdLst/>
                          <a:ahLst/>
                          <a:cxnLst/>
                          <a:rect l="l" t="t" r="r" b="b"/>
                          <a:pathLst>
                            <a:path w="5998210" h="50800">
                              <a:moveTo>
                                <a:pt x="5997587" y="18719"/>
                              </a:moveTo>
                              <a:lnTo>
                                <a:pt x="4706632" y="18719"/>
                              </a:lnTo>
                              <a:lnTo>
                                <a:pt x="4706632" y="0"/>
                              </a:lnTo>
                              <a:lnTo>
                                <a:pt x="1290955" y="0"/>
                              </a:lnTo>
                              <a:lnTo>
                                <a:pt x="1290955" y="18719"/>
                              </a:lnTo>
                              <a:lnTo>
                                <a:pt x="0" y="18719"/>
                              </a:lnTo>
                              <a:lnTo>
                                <a:pt x="0" y="31673"/>
                              </a:lnTo>
                              <a:lnTo>
                                <a:pt x="1290955" y="31673"/>
                              </a:lnTo>
                              <a:lnTo>
                                <a:pt x="1290955" y="50393"/>
                              </a:lnTo>
                              <a:lnTo>
                                <a:pt x="4706632" y="50393"/>
                              </a:lnTo>
                              <a:lnTo>
                                <a:pt x="4706632" y="31673"/>
                              </a:lnTo>
                              <a:lnTo>
                                <a:pt x="5997587" y="31673"/>
                              </a:lnTo>
                              <a:lnTo>
                                <a:pt x="5997587" y="18719"/>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2.860001pt;margin-top:19.448965pt;width:472.3pt;height:4pt;mso-position-horizontal-relative:page;mso-position-vertical-relative:paragraph;z-index:15729664" id="docshape1" coordorigin="857,389" coordsize="9446,80" path="m10302,418l8269,418,8269,389,2890,389,2890,418,857,418,857,439,2890,439,2890,468,8269,468,8269,439,10302,439,10302,418xe" filled="true" fillcolor="#000000" stroked="false">
                <v:path arrowok="t"/>
                <v:fill type="solid"/>
                <w10:wrap type="none"/>
              </v:shape>
            </w:pict>
          </mc:Fallback>
        </mc:AlternateContent>
      </w:r>
      <w:r>
        <w:rPr>
          <w:smallCaps/>
          <w:w w:val="90"/>
          <w:sz w:val="30"/>
        </w:rPr>
        <w:t>Case</w:t>
      </w:r>
      <w:r>
        <w:rPr>
          <w:smallCaps/>
          <w:spacing w:val="39"/>
          <w:sz w:val="30"/>
        </w:rPr>
        <w:t> </w:t>
      </w:r>
      <w:r>
        <w:rPr>
          <w:smallCaps/>
          <w:w w:val="90"/>
          <w:sz w:val="30"/>
        </w:rPr>
        <w:t>Report/Case</w:t>
      </w:r>
      <w:r>
        <w:rPr>
          <w:smallCaps/>
          <w:spacing w:val="39"/>
          <w:sz w:val="30"/>
        </w:rPr>
        <w:t> </w:t>
      </w:r>
      <w:r>
        <w:rPr>
          <w:smallCaps/>
          <w:spacing w:val="-2"/>
          <w:w w:val="90"/>
          <w:sz w:val="30"/>
        </w:rPr>
        <w:t>Series</w:t>
      </w:r>
    </w:p>
    <w:p>
      <w:pPr>
        <w:pStyle w:val="BodyText"/>
        <w:spacing w:before="326"/>
        <w:rPr>
          <w:sz w:val="36"/>
        </w:rPr>
      </w:pPr>
    </w:p>
    <w:p>
      <w:pPr>
        <w:spacing w:line="218" w:lineRule="auto" w:before="0"/>
        <w:ind w:left="701" w:right="700" w:hanging="1"/>
        <w:jc w:val="center"/>
        <w:rPr>
          <w:rFonts w:ascii="Arial"/>
          <w:sz w:val="36"/>
        </w:rPr>
      </w:pPr>
      <w:r>
        <w:rPr>
          <w:rFonts w:ascii="Arial"/>
          <w:sz w:val="36"/>
        </w:rPr>
        <w:t>Early-onset</w:t>
      </w:r>
      <w:r>
        <w:rPr>
          <w:rFonts w:ascii="Arial"/>
          <w:spacing w:val="-11"/>
          <w:sz w:val="36"/>
        </w:rPr>
        <w:t> </w:t>
      </w:r>
      <w:r>
        <w:rPr>
          <w:rFonts w:ascii="Arial"/>
          <w:sz w:val="36"/>
        </w:rPr>
        <w:t>Ataxia</w:t>
      </w:r>
      <w:r>
        <w:rPr>
          <w:rFonts w:ascii="Arial"/>
          <w:spacing w:val="-11"/>
          <w:sz w:val="36"/>
        </w:rPr>
        <w:t> </w:t>
      </w:r>
      <w:r>
        <w:rPr>
          <w:rFonts w:ascii="Arial"/>
          <w:sz w:val="36"/>
        </w:rPr>
        <w:t>With</w:t>
      </w:r>
      <w:r>
        <w:rPr>
          <w:rFonts w:ascii="Arial"/>
          <w:spacing w:val="-11"/>
          <w:sz w:val="36"/>
        </w:rPr>
        <w:t> </w:t>
      </w:r>
      <w:r>
        <w:rPr>
          <w:rFonts w:ascii="Arial"/>
          <w:sz w:val="36"/>
        </w:rPr>
        <w:t>Progressive</w:t>
      </w:r>
      <w:r>
        <w:rPr>
          <w:rFonts w:ascii="Arial"/>
          <w:spacing w:val="-11"/>
          <w:sz w:val="36"/>
        </w:rPr>
        <w:t> </w:t>
      </w:r>
      <w:r>
        <w:rPr>
          <w:rFonts w:ascii="Arial"/>
          <w:sz w:val="36"/>
        </w:rPr>
        <w:t>External Ophthalmoplegia Associated With POLG </w:t>
      </w:r>
      <w:r>
        <w:rPr>
          <w:rFonts w:ascii="Arial"/>
          <w:sz w:val="36"/>
        </w:rPr>
        <w:t>Mutation</w:t>
      </w:r>
    </w:p>
    <w:p>
      <w:pPr>
        <w:spacing w:before="93"/>
        <w:ind w:left="0" w:right="1" w:firstLine="0"/>
        <w:jc w:val="center"/>
        <w:rPr>
          <w:rFonts w:ascii="Arial"/>
          <w:i/>
          <w:sz w:val="34"/>
        </w:rPr>
      </w:pPr>
      <w:r>
        <w:rPr>
          <w:rFonts w:ascii="Arial"/>
          <w:i/>
          <w:w w:val="90"/>
          <w:sz w:val="34"/>
        </w:rPr>
        <w:t>Autosomal</w:t>
      </w:r>
      <w:r>
        <w:rPr>
          <w:rFonts w:ascii="Arial"/>
          <w:i/>
          <w:spacing w:val="46"/>
          <w:sz w:val="34"/>
        </w:rPr>
        <w:t> </w:t>
      </w:r>
      <w:r>
        <w:rPr>
          <w:rFonts w:ascii="Arial"/>
          <w:i/>
          <w:w w:val="90"/>
          <w:sz w:val="34"/>
        </w:rPr>
        <w:t>Recessive</w:t>
      </w:r>
      <w:r>
        <w:rPr>
          <w:rFonts w:ascii="Arial"/>
          <w:i/>
          <w:spacing w:val="47"/>
          <w:sz w:val="34"/>
        </w:rPr>
        <w:t> </w:t>
      </w:r>
      <w:r>
        <w:rPr>
          <w:rFonts w:ascii="Arial"/>
          <w:i/>
          <w:w w:val="90"/>
          <w:sz w:val="34"/>
        </w:rPr>
        <w:t>Mitochondrial</w:t>
      </w:r>
      <w:r>
        <w:rPr>
          <w:rFonts w:ascii="Arial"/>
          <w:i/>
          <w:spacing w:val="46"/>
          <w:sz w:val="34"/>
        </w:rPr>
        <w:t> </w:t>
      </w:r>
      <w:r>
        <w:rPr>
          <w:rFonts w:ascii="Arial"/>
          <w:i/>
          <w:w w:val="90"/>
          <w:sz w:val="34"/>
        </w:rPr>
        <w:t>Ataxic</w:t>
      </w:r>
      <w:r>
        <w:rPr>
          <w:rFonts w:ascii="Arial"/>
          <w:i/>
          <w:spacing w:val="46"/>
          <w:sz w:val="34"/>
        </w:rPr>
        <w:t> </w:t>
      </w:r>
      <w:r>
        <w:rPr>
          <w:rFonts w:ascii="Arial"/>
          <w:i/>
          <w:w w:val="90"/>
          <w:sz w:val="34"/>
        </w:rPr>
        <w:t>Syndrome</w:t>
      </w:r>
      <w:r>
        <w:rPr>
          <w:rFonts w:ascii="Arial"/>
          <w:i/>
          <w:spacing w:val="46"/>
          <w:sz w:val="34"/>
        </w:rPr>
        <w:t> </w:t>
      </w:r>
      <w:r>
        <w:rPr>
          <w:rFonts w:ascii="Arial"/>
          <w:i/>
          <w:w w:val="90"/>
          <w:sz w:val="34"/>
        </w:rPr>
        <w:t>or</w:t>
      </w:r>
      <w:r>
        <w:rPr>
          <w:rFonts w:ascii="Arial"/>
          <w:i/>
          <w:spacing w:val="45"/>
          <w:sz w:val="34"/>
        </w:rPr>
        <w:t> </w:t>
      </w:r>
      <w:r>
        <w:rPr>
          <w:rFonts w:ascii="Arial"/>
          <w:i/>
          <w:spacing w:val="-2"/>
          <w:w w:val="90"/>
          <w:sz w:val="34"/>
        </w:rPr>
        <w:t>SANDO?</w:t>
      </w:r>
    </w:p>
    <w:p>
      <w:pPr>
        <w:spacing w:line="244" w:lineRule="auto" w:before="219"/>
        <w:ind w:left="243" w:right="241" w:firstLine="0"/>
        <w:jc w:val="center"/>
        <w:rPr>
          <w:rFonts w:ascii="Arial" w:hAnsi="Arial"/>
          <w:i/>
          <w:sz w:val="22"/>
        </w:rPr>
      </w:pPr>
      <w:r>
        <w:rPr>
          <w:i/>
          <w:sz w:val="22"/>
        </w:rPr>
        <w:t>Mario</w:t>
      </w:r>
      <w:r>
        <w:rPr>
          <w:i/>
          <w:spacing w:val="-9"/>
          <w:sz w:val="22"/>
        </w:rPr>
        <w:t> </w:t>
      </w:r>
      <w:r>
        <w:rPr>
          <w:i/>
          <w:sz w:val="22"/>
        </w:rPr>
        <w:t>Habek,</w:t>
      </w:r>
      <w:r>
        <w:rPr>
          <w:i/>
          <w:spacing w:val="-7"/>
          <w:sz w:val="22"/>
        </w:rPr>
        <w:t> </w:t>
      </w:r>
      <w:r>
        <w:rPr>
          <w:i/>
          <w:sz w:val="22"/>
        </w:rPr>
        <w:t>MD,</w:t>
      </w:r>
      <w:r>
        <w:rPr>
          <w:i/>
          <w:spacing w:val="-8"/>
          <w:sz w:val="22"/>
        </w:rPr>
        <w:t> </w:t>
      </w:r>
      <w:r>
        <w:rPr>
          <w:i/>
          <w:sz w:val="22"/>
        </w:rPr>
        <w:t>PhD,</w:t>
      </w:r>
      <w:r>
        <w:rPr>
          <w:sz w:val="22"/>
        </w:rPr>
        <w:t>*</w:t>
      </w:r>
      <w:r>
        <w:rPr>
          <w:rFonts w:ascii="Arial" w:hAnsi="Arial"/>
          <w:i/>
          <w:sz w:val="22"/>
        </w:rPr>
        <w:t>w</w:t>
      </w:r>
      <w:r>
        <w:rPr>
          <w:rFonts w:ascii="Arial" w:hAnsi="Arial"/>
          <w:i/>
          <w:spacing w:val="-14"/>
          <w:sz w:val="22"/>
        </w:rPr>
        <w:t> </w:t>
      </w:r>
      <w:r>
        <w:rPr>
          <w:i/>
          <w:sz w:val="22"/>
        </w:rPr>
        <w:t>Barbara</w:t>
      </w:r>
      <w:r>
        <w:rPr>
          <w:i/>
          <w:spacing w:val="-8"/>
          <w:sz w:val="22"/>
        </w:rPr>
        <w:t> </w:t>
      </w:r>
      <w:r>
        <w:rPr>
          <w:i/>
          <w:sz w:val="22"/>
        </w:rPr>
        <w:t>Barun,</w:t>
      </w:r>
      <w:r>
        <w:rPr>
          <w:i/>
          <w:spacing w:val="-8"/>
          <w:sz w:val="22"/>
        </w:rPr>
        <w:t> </w:t>
      </w:r>
      <w:r>
        <w:rPr>
          <w:i/>
          <w:sz w:val="22"/>
        </w:rPr>
        <w:t>MD,</w:t>
      </w:r>
      <w:r>
        <w:rPr>
          <w:sz w:val="22"/>
        </w:rPr>
        <w:t>*</w:t>
      </w:r>
      <w:r>
        <w:rPr>
          <w:rFonts w:ascii="Arial" w:hAnsi="Arial"/>
          <w:i/>
          <w:sz w:val="22"/>
        </w:rPr>
        <w:t>w</w:t>
      </w:r>
      <w:r>
        <w:rPr>
          <w:rFonts w:ascii="Arial" w:hAnsi="Arial"/>
          <w:i/>
          <w:spacing w:val="-14"/>
          <w:sz w:val="22"/>
        </w:rPr>
        <w:t> </w:t>
      </w:r>
      <w:r>
        <w:rPr>
          <w:i/>
          <w:sz w:val="22"/>
        </w:rPr>
        <w:t>Ivan</w:t>
      </w:r>
      <w:r>
        <w:rPr>
          <w:i/>
          <w:spacing w:val="-8"/>
          <w:sz w:val="22"/>
        </w:rPr>
        <w:t> </w:t>
      </w:r>
      <w:r>
        <w:rPr>
          <w:i/>
          <w:sz w:val="22"/>
        </w:rPr>
        <w:t>Adamec,</w:t>
      </w:r>
      <w:r>
        <w:rPr>
          <w:i/>
          <w:spacing w:val="-8"/>
          <w:sz w:val="22"/>
        </w:rPr>
        <w:t> </w:t>
      </w:r>
      <w:r>
        <w:rPr>
          <w:i/>
          <w:sz w:val="22"/>
        </w:rPr>
        <w:t>MD,</w:t>
      </w:r>
      <w:r>
        <w:rPr>
          <w:sz w:val="22"/>
        </w:rPr>
        <w:t>*</w:t>
      </w:r>
      <w:r>
        <w:rPr>
          <w:spacing w:val="-8"/>
          <w:sz w:val="22"/>
        </w:rPr>
        <w:t> </w:t>
      </w:r>
      <w:r>
        <w:rPr>
          <w:i/>
          <w:sz w:val="22"/>
        </w:rPr>
        <w:t>Zoran</w:t>
      </w:r>
      <w:r>
        <w:rPr>
          <w:i/>
          <w:spacing w:val="-8"/>
          <w:sz w:val="22"/>
        </w:rPr>
        <w:t> </w:t>
      </w:r>
      <w:r>
        <w:rPr>
          <w:i/>
          <w:sz w:val="22"/>
        </w:rPr>
        <w:t>Mitrovic´,</w:t>
      </w:r>
      <w:r>
        <w:rPr>
          <w:i/>
          <w:spacing w:val="-8"/>
          <w:sz w:val="22"/>
        </w:rPr>
        <w:t> </w:t>
      </w:r>
      <w:r>
        <w:rPr>
          <w:i/>
          <w:sz w:val="22"/>
        </w:rPr>
        <w:t>MD,</w:t>
      </w:r>
      <w:r>
        <w:rPr>
          <w:sz w:val="22"/>
        </w:rPr>
        <w:t>* </w:t>
      </w:r>
      <w:r>
        <w:rPr>
          <w:i/>
          <w:sz w:val="22"/>
        </w:rPr>
        <w:t>David Ozretic´, MD,z and Vesna V. Brinar, MD, PhD</w:t>
      </w:r>
      <w:r>
        <w:rPr>
          <w:sz w:val="22"/>
        </w:rPr>
        <w:t>*</w:t>
      </w:r>
      <w:r>
        <w:rPr>
          <w:rFonts w:ascii="Arial" w:hAnsi="Arial"/>
          <w:i/>
          <w:sz w:val="22"/>
        </w:rPr>
        <w:t>w</w:t>
      </w:r>
    </w:p>
    <w:p>
      <w:pPr>
        <w:pStyle w:val="BodyText"/>
        <w:rPr>
          <w:rFonts w:ascii="Arial"/>
          <w:i/>
          <w:sz w:val="20"/>
        </w:rPr>
      </w:pPr>
    </w:p>
    <w:p>
      <w:pPr>
        <w:pStyle w:val="BodyText"/>
        <w:spacing w:before="101"/>
        <w:rPr>
          <w:rFonts w:ascii="Arial"/>
          <w:i/>
          <w:sz w:val="20"/>
        </w:rPr>
      </w:pPr>
    </w:p>
    <w:p>
      <w:pPr>
        <w:pStyle w:val="BodyText"/>
        <w:spacing w:after="0"/>
        <w:rPr>
          <w:rFonts w:ascii="Arial"/>
          <w:i/>
          <w:sz w:val="20"/>
        </w:rPr>
        <w:sectPr>
          <w:type w:val="continuous"/>
          <w:pgSz w:w="11160" w:h="15480"/>
          <w:pgMar w:top="620" w:bottom="280" w:left="850" w:right="850"/>
        </w:sectPr>
      </w:pPr>
    </w:p>
    <w:p>
      <w:pPr>
        <w:pStyle w:val="BodyText"/>
        <w:spacing w:before="3"/>
        <w:rPr>
          <w:rFonts w:ascii="Arial"/>
          <w:i/>
          <w:sz w:val="10"/>
        </w:rPr>
      </w:pPr>
    </w:p>
    <w:p>
      <w:pPr>
        <w:pStyle w:val="BodyText"/>
        <w:spacing w:line="20" w:lineRule="exact"/>
        <w:ind w:left="7" w:right="-58"/>
        <w:rPr>
          <w:rFonts w:ascii="Arial"/>
          <w:sz w:val="2"/>
        </w:rPr>
      </w:pPr>
      <w:r>
        <w:rPr>
          <w:rFonts w:ascii="Arial"/>
          <w:sz w:val="2"/>
        </w:rPr>
        <mc:AlternateContent>
          <mc:Choice Requires="wps">
            <w:drawing>
              <wp:inline distT="0" distB="0" distL="0" distR="0">
                <wp:extent cx="2885440" cy="6350"/>
                <wp:effectExtent l="0" t="0" r="0" b="0"/>
                <wp:docPr id="2" name="Group 2"/>
                <wp:cNvGraphicFramePr>
                  <a:graphicFrameLocks/>
                </wp:cNvGraphicFramePr>
                <a:graphic>
                  <a:graphicData uri="http://schemas.microsoft.com/office/word/2010/wordprocessingGroup">
                    <wpg:wgp>
                      <wpg:cNvPr id="2" name="Group 2"/>
                      <wpg:cNvGrpSpPr/>
                      <wpg:grpSpPr>
                        <a:xfrm>
                          <a:off x="0" y="0"/>
                          <a:ext cx="2885440" cy="6350"/>
                          <a:chExt cx="2885440" cy="6350"/>
                        </a:xfrm>
                      </wpg:grpSpPr>
                      <wps:wsp>
                        <wps:cNvPr id="3" name="Graphic 3"/>
                        <wps:cNvSpPr/>
                        <wps:spPr>
                          <a:xfrm>
                            <a:off x="0" y="0"/>
                            <a:ext cx="2885440" cy="6350"/>
                          </a:xfrm>
                          <a:custGeom>
                            <a:avLst/>
                            <a:gdLst/>
                            <a:ahLst/>
                            <a:cxnLst/>
                            <a:rect l="l" t="t" r="r" b="b"/>
                            <a:pathLst>
                              <a:path w="2885440" h="6350">
                                <a:moveTo>
                                  <a:pt x="2885033" y="0"/>
                                </a:moveTo>
                                <a:lnTo>
                                  <a:pt x="0" y="0"/>
                                </a:lnTo>
                                <a:lnTo>
                                  <a:pt x="0" y="5760"/>
                                </a:lnTo>
                                <a:lnTo>
                                  <a:pt x="2885033" y="5760"/>
                                </a:lnTo>
                                <a:lnTo>
                                  <a:pt x="2885033"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27.2pt;height:.5pt;mso-position-horizontal-relative:char;mso-position-vertical-relative:line" id="docshapegroup2" coordorigin="0,0" coordsize="4544,10">
                <v:rect style="position:absolute;left:0;top:0;width:4544;height:10" id="docshape3" filled="true" fillcolor="#000000" stroked="false">
                  <v:fill type="solid"/>
                </v:rect>
              </v:group>
            </w:pict>
          </mc:Fallback>
        </mc:AlternateContent>
      </w:r>
      <w:r>
        <w:rPr>
          <w:rFonts w:ascii="Arial"/>
          <w:sz w:val="2"/>
        </w:rPr>
      </w:r>
    </w:p>
    <w:p>
      <w:pPr>
        <w:spacing w:line="232" w:lineRule="auto" w:before="125"/>
        <w:ind w:left="7" w:right="0" w:firstLine="0"/>
        <w:jc w:val="both"/>
        <w:rPr>
          <w:sz w:val="16"/>
        </w:rPr>
      </w:pPr>
      <w:r>
        <w:rPr>
          <w:b/>
          <w:sz w:val="16"/>
        </w:rPr>
        <w:t>Abstract: </w:t>
      </w:r>
      <w:r>
        <w:rPr>
          <w:sz w:val="16"/>
        </w:rPr>
        <w:t>Autosomal recessive ataxias caused by mutations of </w:t>
      </w:r>
      <w:r>
        <w:rPr>
          <w:sz w:val="16"/>
        </w:rPr>
        <w:t>the</w:t>
      </w:r>
      <w:r>
        <w:rPr>
          <w:spacing w:val="40"/>
          <w:sz w:val="16"/>
        </w:rPr>
        <w:t> </w:t>
      </w:r>
      <w:r>
        <w:rPr>
          <w:sz w:val="16"/>
        </w:rPr>
        <w:t>polymerase g (</w:t>
      </w:r>
      <w:r>
        <w:rPr>
          <w:i/>
          <w:sz w:val="16"/>
        </w:rPr>
        <w:t>POLG</w:t>
      </w:r>
      <w:r>
        <w:rPr>
          <w:sz w:val="16"/>
        </w:rPr>
        <w:t>) gene make an important group of progressive</w:t>
      </w:r>
      <w:r>
        <w:rPr>
          <w:spacing w:val="40"/>
          <w:sz w:val="16"/>
        </w:rPr>
        <w:t> </w:t>
      </w:r>
      <w:r>
        <w:rPr>
          <w:sz w:val="16"/>
        </w:rPr>
        <w:t>ataxias accompanied by a diverse spectrum of neurological disorders.</w:t>
      </w:r>
      <w:r>
        <w:rPr>
          <w:spacing w:val="40"/>
          <w:sz w:val="16"/>
        </w:rPr>
        <w:t> </w:t>
      </w:r>
      <w:r>
        <w:rPr>
          <w:sz w:val="16"/>
        </w:rPr>
        <w:t>Because the clinical picture can be quite miscellaneous, it is chal-</w:t>
      </w:r>
      <w:r>
        <w:rPr>
          <w:spacing w:val="40"/>
          <w:sz w:val="16"/>
        </w:rPr>
        <w:t> </w:t>
      </w:r>
      <w:r>
        <w:rPr>
          <w:sz w:val="16"/>
        </w:rPr>
        <w:t>lenging to assort patients to any of the currently described syndromes;</w:t>
      </w:r>
      <w:r>
        <w:rPr>
          <w:spacing w:val="40"/>
          <w:sz w:val="16"/>
        </w:rPr>
        <w:t> </w:t>
      </w:r>
      <w:r>
        <w:rPr>
          <w:sz w:val="16"/>
        </w:rPr>
        <w:t>therefore, to provide such a patient with a conclusive diagnosis can be</w:t>
      </w:r>
      <w:r>
        <w:rPr>
          <w:spacing w:val="40"/>
          <w:sz w:val="16"/>
        </w:rPr>
        <w:t> </w:t>
      </w:r>
      <w:r>
        <w:rPr>
          <w:sz w:val="16"/>
        </w:rPr>
        <w:t>challenging</w:t>
      </w:r>
      <w:r>
        <w:rPr>
          <w:spacing w:val="-1"/>
          <w:sz w:val="16"/>
        </w:rPr>
        <w:t> </w:t>
      </w:r>
      <w:r>
        <w:rPr>
          <w:sz w:val="16"/>
        </w:rPr>
        <w:t>for</w:t>
      </w:r>
      <w:r>
        <w:rPr>
          <w:spacing w:val="-1"/>
          <w:sz w:val="16"/>
        </w:rPr>
        <w:t> </w:t>
      </w:r>
      <w:r>
        <w:rPr>
          <w:sz w:val="16"/>
        </w:rPr>
        <w:t>the</w:t>
      </w:r>
      <w:r>
        <w:rPr>
          <w:spacing w:val="-1"/>
          <w:sz w:val="16"/>
        </w:rPr>
        <w:t> </w:t>
      </w:r>
      <w:r>
        <w:rPr>
          <w:sz w:val="16"/>
        </w:rPr>
        <w:t>neurologist.</w:t>
      </w:r>
      <w:r>
        <w:rPr>
          <w:spacing w:val="-1"/>
          <w:sz w:val="16"/>
        </w:rPr>
        <w:t> </w:t>
      </w:r>
      <w:r>
        <w:rPr>
          <w:sz w:val="16"/>
        </w:rPr>
        <w:t>A</w:t>
      </w:r>
      <w:r>
        <w:rPr>
          <w:spacing w:val="-1"/>
          <w:sz w:val="16"/>
        </w:rPr>
        <w:t> </w:t>
      </w:r>
      <w:r>
        <w:rPr>
          <w:sz w:val="16"/>
        </w:rPr>
        <w:t>typical</w:t>
      </w:r>
      <w:r>
        <w:rPr>
          <w:spacing w:val="-1"/>
          <w:sz w:val="16"/>
        </w:rPr>
        <w:t> </w:t>
      </w:r>
      <w:r>
        <w:rPr>
          <w:sz w:val="16"/>
        </w:rPr>
        <w:t>magnetic</w:t>
      </w:r>
      <w:r>
        <w:rPr>
          <w:spacing w:val="-1"/>
          <w:sz w:val="16"/>
        </w:rPr>
        <w:t> </w:t>
      </w:r>
      <w:r>
        <w:rPr>
          <w:sz w:val="16"/>
        </w:rPr>
        <w:t>resonance</w:t>
      </w:r>
      <w:r>
        <w:rPr>
          <w:spacing w:val="-1"/>
          <w:sz w:val="16"/>
        </w:rPr>
        <w:t> </w:t>
      </w:r>
      <w:r>
        <w:rPr>
          <w:sz w:val="16"/>
        </w:rPr>
        <w:t>imaging</w:t>
      </w:r>
      <w:r>
        <w:rPr>
          <w:spacing w:val="40"/>
          <w:sz w:val="16"/>
        </w:rPr>
        <w:t> </w:t>
      </w:r>
      <w:r>
        <w:rPr>
          <w:sz w:val="16"/>
        </w:rPr>
        <w:t>finding</w:t>
      </w:r>
      <w:r>
        <w:rPr>
          <w:spacing w:val="-4"/>
          <w:sz w:val="16"/>
        </w:rPr>
        <w:t> </w:t>
      </w:r>
      <w:r>
        <w:rPr>
          <w:sz w:val="16"/>
        </w:rPr>
        <w:t>is</w:t>
      </w:r>
      <w:r>
        <w:rPr>
          <w:spacing w:val="-4"/>
          <w:sz w:val="16"/>
        </w:rPr>
        <w:t> </w:t>
      </w:r>
      <w:r>
        <w:rPr>
          <w:sz w:val="16"/>
        </w:rPr>
        <w:t>probably</w:t>
      </w:r>
      <w:r>
        <w:rPr>
          <w:spacing w:val="-4"/>
          <w:sz w:val="16"/>
        </w:rPr>
        <w:t> </w:t>
      </w:r>
      <w:r>
        <w:rPr>
          <w:sz w:val="16"/>
        </w:rPr>
        <w:t>the</w:t>
      </w:r>
      <w:r>
        <w:rPr>
          <w:spacing w:val="-4"/>
          <w:sz w:val="16"/>
        </w:rPr>
        <w:t> </w:t>
      </w:r>
      <w:r>
        <w:rPr>
          <w:sz w:val="16"/>
        </w:rPr>
        <w:t>most</w:t>
      </w:r>
      <w:r>
        <w:rPr>
          <w:spacing w:val="-4"/>
          <w:sz w:val="16"/>
        </w:rPr>
        <w:t> </w:t>
      </w:r>
      <w:r>
        <w:rPr>
          <w:sz w:val="16"/>
        </w:rPr>
        <w:t>useful</w:t>
      </w:r>
      <w:r>
        <w:rPr>
          <w:spacing w:val="-4"/>
          <w:sz w:val="16"/>
        </w:rPr>
        <w:t> </w:t>
      </w:r>
      <w:r>
        <w:rPr>
          <w:sz w:val="16"/>
        </w:rPr>
        <w:t>landmark</w:t>
      </w:r>
      <w:r>
        <w:rPr>
          <w:spacing w:val="-4"/>
          <w:sz w:val="16"/>
        </w:rPr>
        <w:t> </w:t>
      </w:r>
      <w:r>
        <w:rPr>
          <w:sz w:val="16"/>
        </w:rPr>
        <w:t>in</w:t>
      </w:r>
      <w:r>
        <w:rPr>
          <w:spacing w:val="-3"/>
          <w:sz w:val="16"/>
        </w:rPr>
        <w:t> </w:t>
      </w:r>
      <w:r>
        <w:rPr>
          <w:sz w:val="16"/>
        </w:rPr>
        <w:t>the</w:t>
      </w:r>
      <w:r>
        <w:rPr>
          <w:spacing w:val="-4"/>
          <w:sz w:val="16"/>
        </w:rPr>
        <w:t> </w:t>
      </w:r>
      <w:r>
        <w:rPr>
          <w:sz w:val="16"/>
        </w:rPr>
        <w:t>diagnostic</w:t>
      </w:r>
      <w:r>
        <w:rPr>
          <w:spacing w:val="-4"/>
          <w:sz w:val="16"/>
        </w:rPr>
        <w:t> </w:t>
      </w:r>
      <w:r>
        <w:rPr>
          <w:sz w:val="16"/>
        </w:rPr>
        <w:t>process,</w:t>
      </w:r>
      <w:r>
        <w:rPr>
          <w:spacing w:val="40"/>
          <w:sz w:val="16"/>
        </w:rPr>
        <w:t> </w:t>
      </w:r>
      <w:r>
        <w:rPr>
          <w:sz w:val="16"/>
        </w:rPr>
        <w:t>which will steer the clinician toward </w:t>
      </w:r>
      <w:r>
        <w:rPr>
          <w:i/>
          <w:sz w:val="16"/>
        </w:rPr>
        <w:t>POLG </w:t>
      </w:r>
      <w:r>
        <w:rPr>
          <w:sz w:val="16"/>
        </w:rPr>
        <w:t>gene testing. To illustrate</w:t>
      </w:r>
      <w:r>
        <w:rPr>
          <w:spacing w:val="40"/>
          <w:sz w:val="16"/>
        </w:rPr>
        <w:t> </w:t>
      </w:r>
      <w:r>
        <w:rPr>
          <w:sz w:val="16"/>
        </w:rPr>
        <w:t>this, we present a case of progressive ataxia caused by A467T and</w:t>
      </w:r>
      <w:r>
        <w:rPr>
          <w:spacing w:val="40"/>
          <w:sz w:val="16"/>
        </w:rPr>
        <w:t> </w:t>
      </w:r>
      <w:r>
        <w:rPr>
          <w:sz w:val="16"/>
        </w:rPr>
        <w:t>W748S mutations of </w:t>
      </w:r>
      <w:r>
        <w:rPr>
          <w:i/>
          <w:sz w:val="16"/>
        </w:rPr>
        <w:t>POLG </w:t>
      </w:r>
      <w:r>
        <w:rPr>
          <w:sz w:val="16"/>
        </w:rPr>
        <w:t>gene, who presented with overlapping</w:t>
      </w:r>
      <w:r>
        <w:rPr>
          <w:spacing w:val="40"/>
          <w:sz w:val="16"/>
        </w:rPr>
        <w:t> </w:t>
      </w:r>
      <w:r>
        <w:rPr>
          <w:sz w:val="16"/>
        </w:rPr>
        <w:t>symptoms of autosomal recessive mitochondrial ataxic syndrome and</w:t>
      </w:r>
      <w:r>
        <w:rPr>
          <w:spacing w:val="40"/>
          <w:sz w:val="16"/>
        </w:rPr>
        <w:t> </w:t>
      </w:r>
      <w:r>
        <w:rPr>
          <w:sz w:val="16"/>
        </w:rPr>
        <w:t>SANDO, as well as choreoathetotic movements and dysphonia. After</w:t>
      </w:r>
      <w:r>
        <w:rPr>
          <w:spacing w:val="40"/>
          <w:sz w:val="16"/>
        </w:rPr>
        <w:t> </w:t>
      </w:r>
      <w:r>
        <w:rPr>
          <w:sz w:val="16"/>
        </w:rPr>
        <w:t>lengthy investigations, magnetic resonance imaging showed T2 and</w:t>
      </w:r>
      <w:r>
        <w:rPr>
          <w:spacing w:val="40"/>
          <w:sz w:val="16"/>
        </w:rPr>
        <w:t> </w:t>
      </w:r>
      <w:r>
        <w:rPr>
          <w:sz w:val="16"/>
        </w:rPr>
        <w:t>FLAIR hyperintensities in the thalamus, inferior olives, and cer-</w:t>
      </w:r>
      <w:r>
        <w:rPr>
          <w:spacing w:val="40"/>
          <w:sz w:val="16"/>
        </w:rPr>
        <w:t> </w:t>
      </w:r>
      <w:r>
        <w:rPr>
          <w:sz w:val="16"/>
        </w:rPr>
        <w:t>ebellum, which led us to the analysis of POLG mutations.</w:t>
      </w:r>
    </w:p>
    <w:p>
      <w:pPr>
        <w:spacing w:line="259" w:lineRule="auto" w:before="149"/>
        <w:ind w:left="7" w:right="1" w:firstLine="0"/>
        <w:jc w:val="both"/>
        <w:rPr>
          <w:sz w:val="16"/>
        </w:rPr>
      </w:pPr>
      <w:r>
        <w:rPr>
          <w:b/>
          <w:sz w:val="16"/>
        </w:rPr>
        <w:t>Key</w:t>
      </w:r>
      <w:r>
        <w:rPr>
          <w:b/>
          <w:spacing w:val="-9"/>
          <w:sz w:val="16"/>
        </w:rPr>
        <w:t> </w:t>
      </w:r>
      <w:r>
        <w:rPr>
          <w:b/>
          <w:sz w:val="16"/>
        </w:rPr>
        <w:t>Words:</w:t>
      </w:r>
      <w:r>
        <w:rPr>
          <w:b/>
          <w:spacing w:val="-8"/>
          <w:sz w:val="16"/>
        </w:rPr>
        <w:t> </w:t>
      </w:r>
      <w:r>
        <w:rPr>
          <w:sz w:val="16"/>
        </w:rPr>
        <w:t>ataxia,</w:t>
      </w:r>
      <w:r>
        <w:rPr>
          <w:spacing w:val="-9"/>
          <w:sz w:val="16"/>
        </w:rPr>
        <w:t> </w:t>
      </w:r>
      <w:r>
        <w:rPr>
          <w:sz w:val="16"/>
        </w:rPr>
        <w:t>autosomal</w:t>
      </w:r>
      <w:r>
        <w:rPr>
          <w:spacing w:val="-7"/>
          <w:sz w:val="16"/>
        </w:rPr>
        <w:t> </w:t>
      </w:r>
      <w:r>
        <w:rPr>
          <w:sz w:val="16"/>
        </w:rPr>
        <w:t>recessive,</w:t>
      </w:r>
      <w:r>
        <w:rPr>
          <w:spacing w:val="-9"/>
          <w:sz w:val="16"/>
        </w:rPr>
        <w:t> </w:t>
      </w:r>
      <w:r>
        <w:rPr>
          <w:sz w:val="16"/>
        </w:rPr>
        <w:t>MRI,</w:t>
      </w:r>
      <w:r>
        <w:rPr>
          <w:spacing w:val="-9"/>
          <w:sz w:val="16"/>
        </w:rPr>
        <w:t> </w:t>
      </w:r>
      <w:r>
        <w:rPr>
          <w:sz w:val="16"/>
        </w:rPr>
        <w:t>POLG,</w:t>
      </w:r>
      <w:r>
        <w:rPr>
          <w:spacing w:val="-9"/>
          <w:sz w:val="16"/>
        </w:rPr>
        <w:t> </w:t>
      </w:r>
      <w:r>
        <w:rPr>
          <w:sz w:val="16"/>
        </w:rPr>
        <w:t>choreoathetotic</w:t>
      </w:r>
      <w:r>
        <w:rPr>
          <w:spacing w:val="40"/>
          <w:sz w:val="16"/>
        </w:rPr>
        <w:t> </w:t>
      </w:r>
      <w:r>
        <w:rPr>
          <w:sz w:val="16"/>
        </w:rPr>
        <w:t>movements, dysphonia</w:t>
      </w:r>
    </w:p>
    <w:p>
      <w:pPr>
        <w:spacing w:before="84"/>
        <w:ind w:left="7" w:right="0" w:firstLine="0"/>
        <w:jc w:val="both"/>
        <w:rPr>
          <w:sz w:val="18"/>
        </w:rPr>
      </w:pPr>
      <w:r>
        <w:rPr>
          <w:sz w:val="18"/>
        </w:rPr>
        <w:t>(</w:t>
      </w:r>
      <w:r>
        <w:rPr>
          <w:i/>
          <w:sz w:val="18"/>
        </w:rPr>
        <w:t>The</w:t>
      </w:r>
      <w:r>
        <w:rPr>
          <w:i/>
          <w:spacing w:val="9"/>
          <w:sz w:val="18"/>
        </w:rPr>
        <w:t> </w:t>
      </w:r>
      <w:r>
        <w:rPr>
          <w:i/>
          <w:sz w:val="18"/>
        </w:rPr>
        <w:t>Neurologist</w:t>
      </w:r>
      <w:r>
        <w:rPr>
          <w:i/>
          <w:spacing w:val="8"/>
          <w:sz w:val="18"/>
        </w:rPr>
        <w:t> </w:t>
      </w:r>
      <w:r>
        <w:rPr>
          <w:spacing w:val="-2"/>
          <w:sz w:val="18"/>
        </w:rPr>
        <w:t>2012;18:287–289)</w:t>
      </w:r>
    </w:p>
    <w:p>
      <w:pPr>
        <w:pStyle w:val="BodyText"/>
      </w:pPr>
    </w:p>
    <w:p>
      <w:pPr>
        <w:pStyle w:val="BodyText"/>
        <w:spacing w:before="63"/>
      </w:pPr>
    </w:p>
    <w:p>
      <w:pPr>
        <w:pStyle w:val="BodyText"/>
        <w:spacing w:line="230" w:lineRule="auto"/>
        <w:ind w:left="7" w:right="1" w:firstLine="268"/>
        <w:jc w:val="right"/>
      </w:pPr>
      <w:r>
        <w:rPr/>
        <mc:AlternateContent>
          <mc:Choice Requires="wps">
            <w:drawing>
              <wp:anchor distT="0" distB="0" distL="0" distR="0" allowOverlap="1" layoutInCell="1" locked="0" behindDoc="1" simplePos="0" relativeHeight="487473664">
                <wp:simplePos x="0" y="0"/>
                <wp:positionH relativeFrom="page">
                  <wp:posOffset>544319</wp:posOffset>
                </wp:positionH>
                <wp:positionV relativeFrom="paragraph">
                  <wp:posOffset>-1616</wp:posOffset>
                </wp:positionV>
                <wp:extent cx="164465" cy="30416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164465" cy="304165"/>
                        </a:xfrm>
                        <a:prstGeom prst="rect">
                          <a:avLst/>
                        </a:prstGeom>
                      </wps:spPr>
                      <wps:txbx>
                        <w:txbxContent>
                          <w:p>
                            <w:pPr>
                              <w:spacing w:line="466" w:lineRule="exact" w:before="0"/>
                              <w:ind w:left="0" w:right="0" w:firstLine="0"/>
                              <w:jc w:val="left"/>
                              <w:rPr>
                                <w:rFonts w:ascii="Arial"/>
                                <w:sz w:val="48"/>
                              </w:rPr>
                            </w:pPr>
                            <w:r>
                              <w:rPr>
                                <w:rFonts w:ascii="Arial"/>
                                <w:spacing w:val="-10"/>
                                <w:w w:val="80"/>
                                <w:sz w:val="48"/>
                              </w:rPr>
                              <w:t>P</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2.859798pt;margin-top:-.127315pt;width:12.95pt;height:23.95pt;mso-position-horizontal-relative:page;mso-position-vertical-relative:paragraph;z-index:-15842816" type="#_x0000_t202" id="docshape4" filled="false" stroked="false">
                <v:textbox inset="0,0,0,0">
                  <w:txbxContent>
                    <w:p>
                      <w:pPr>
                        <w:spacing w:line="466" w:lineRule="exact" w:before="0"/>
                        <w:ind w:left="0" w:right="0" w:firstLine="0"/>
                        <w:jc w:val="left"/>
                        <w:rPr>
                          <w:rFonts w:ascii="Arial"/>
                          <w:sz w:val="48"/>
                        </w:rPr>
                      </w:pPr>
                      <w:r>
                        <w:rPr>
                          <w:rFonts w:ascii="Arial"/>
                          <w:spacing w:val="-10"/>
                          <w:w w:val="80"/>
                          <w:sz w:val="48"/>
                        </w:rPr>
                        <w:t>P</w:t>
                      </w:r>
                    </w:p>
                  </w:txbxContent>
                </v:textbox>
                <w10:wrap type="none"/>
              </v:shape>
            </w:pict>
          </mc:Fallback>
        </mc:AlternateContent>
      </w:r>
      <w:r>
        <w:rPr/>
        <w:t>rogressive loss of balance followed by other </w:t>
      </w:r>
      <w:r>
        <w:rPr/>
        <w:t>heterogenous neurological</w:t>
      </w:r>
      <w:r>
        <w:rPr>
          <w:spacing w:val="40"/>
        </w:rPr>
        <w:t> </w:t>
      </w:r>
      <w:r>
        <w:rPr/>
        <w:t>symptoms</w:t>
      </w:r>
      <w:r>
        <w:rPr>
          <w:spacing w:val="40"/>
        </w:rPr>
        <w:t> </w:t>
      </w:r>
      <w:r>
        <w:rPr/>
        <w:t>is</w:t>
      </w:r>
      <w:r>
        <w:rPr>
          <w:spacing w:val="40"/>
        </w:rPr>
        <w:t> </w:t>
      </w:r>
      <w:r>
        <w:rPr/>
        <w:t>usually</w:t>
      </w:r>
      <w:r>
        <w:rPr>
          <w:spacing w:val="40"/>
        </w:rPr>
        <w:t> </w:t>
      </w:r>
      <w:r>
        <w:rPr/>
        <w:t>challenging</w:t>
      </w:r>
      <w:r>
        <w:rPr>
          <w:spacing w:val="40"/>
        </w:rPr>
        <w:t> </w:t>
      </w:r>
      <w:r>
        <w:rPr/>
        <w:t>for</w:t>
      </w:r>
      <w:r>
        <w:rPr>
          <w:spacing w:val="40"/>
        </w:rPr>
        <w:t> </w:t>
      </w:r>
      <w:r>
        <w:rPr/>
        <w:t>physi- cians due to the spectrum of hereditary and acquired disorders that</w:t>
      </w:r>
      <w:r>
        <w:rPr>
          <w:spacing w:val="-11"/>
        </w:rPr>
        <w:t> </w:t>
      </w:r>
      <w:r>
        <w:rPr/>
        <w:t>should</w:t>
      </w:r>
      <w:r>
        <w:rPr>
          <w:spacing w:val="-11"/>
        </w:rPr>
        <w:t> </w:t>
      </w:r>
      <w:r>
        <w:rPr/>
        <w:t>be</w:t>
      </w:r>
      <w:r>
        <w:rPr>
          <w:spacing w:val="-11"/>
        </w:rPr>
        <w:t> </w:t>
      </w:r>
      <w:r>
        <w:rPr/>
        <w:t>taken</w:t>
      </w:r>
      <w:r>
        <w:rPr>
          <w:spacing w:val="-10"/>
        </w:rPr>
        <w:t> </w:t>
      </w:r>
      <w:r>
        <w:rPr/>
        <w:t>into</w:t>
      </w:r>
      <w:r>
        <w:rPr>
          <w:spacing w:val="-9"/>
        </w:rPr>
        <w:t> </w:t>
      </w:r>
      <w:r>
        <w:rPr/>
        <w:t>consideration.</w:t>
      </w:r>
      <w:r>
        <w:rPr>
          <w:spacing w:val="-11"/>
        </w:rPr>
        <w:t> </w:t>
      </w:r>
      <w:r>
        <w:rPr/>
        <w:t>Depending</w:t>
      </w:r>
      <w:r>
        <w:rPr>
          <w:spacing w:val="-12"/>
        </w:rPr>
        <w:t> </w:t>
      </w:r>
      <w:r>
        <w:rPr/>
        <w:t>on</w:t>
      </w:r>
      <w:r>
        <w:rPr>
          <w:spacing w:val="-10"/>
        </w:rPr>
        <w:t> </w:t>
      </w:r>
      <w:r>
        <w:rPr/>
        <w:t>the</w:t>
      </w:r>
      <w:r>
        <w:rPr>
          <w:spacing w:val="-12"/>
        </w:rPr>
        <w:t> </w:t>
      </w:r>
      <w:r>
        <w:rPr/>
        <w:t>mode of inheritance, hereditary ataxia can be divided into autosomal dominant,</w:t>
      </w:r>
      <w:r>
        <w:rPr>
          <w:spacing w:val="35"/>
        </w:rPr>
        <w:t> </w:t>
      </w:r>
      <w:r>
        <w:rPr/>
        <w:t>autosomal</w:t>
      </w:r>
      <w:r>
        <w:rPr>
          <w:spacing w:val="36"/>
        </w:rPr>
        <w:t> </w:t>
      </w:r>
      <w:r>
        <w:rPr/>
        <w:t>recessive,</w:t>
      </w:r>
      <w:r>
        <w:rPr>
          <w:spacing w:val="35"/>
        </w:rPr>
        <w:t> </w:t>
      </w:r>
      <w:r>
        <w:rPr/>
        <w:t>X-linked,</w:t>
      </w:r>
      <w:r>
        <w:rPr>
          <w:spacing w:val="34"/>
        </w:rPr>
        <w:t> </w:t>
      </w:r>
      <w:r>
        <w:rPr/>
        <w:t>and</w:t>
      </w:r>
      <w:r>
        <w:rPr>
          <w:spacing w:val="34"/>
        </w:rPr>
        <w:t> </w:t>
      </w:r>
      <w:r>
        <w:rPr>
          <w:spacing w:val="-2"/>
        </w:rPr>
        <w:t>mitochondrial</w:t>
      </w:r>
    </w:p>
    <w:p>
      <w:pPr>
        <w:pStyle w:val="BodyText"/>
        <w:spacing w:line="200" w:lineRule="exact"/>
        <w:ind w:left="7"/>
      </w:pPr>
      <w:r>
        <w:rPr>
          <w:spacing w:val="-2"/>
        </w:rPr>
        <w:t>ataxias.</w:t>
      </w:r>
    </w:p>
    <w:p>
      <w:pPr>
        <w:pStyle w:val="BodyText"/>
        <w:spacing w:line="230" w:lineRule="auto" w:before="3"/>
        <w:ind w:left="7" w:right="1" w:firstLine="376"/>
        <w:jc w:val="both"/>
      </w:pPr>
      <w:r>
        <w:rPr/>
        <w:t>Many patients with autosomal recessive disorders </w:t>
      </w:r>
      <w:r>
        <w:rPr/>
        <w:t>have negative family history, but the presence of additional char- acteristic phenotypic features makes it obligatory to include these disorders into differentials. These include the onset of symptoms</w:t>
      </w:r>
      <w:r>
        <w:rPr>
          <w:spacing w:val="71"/>
        </w:rPr>
        <w:t> </w:t>
      </w:r>
      <w:r>
        <w:rPr/>
        <w:t>before</w:t>
      </w:r>
      <w:r>
        <w:rPr>
          <w:spacing w:val="72"/>
        </w:rPr>
        <w:t> </w:t>
      </w:r>
      <w:r>
        <w:rPr/>
        <w:t>the</w:t>
      </w:r>
      <w:r>
        <w:rPr>
          <w:spacing w:val="72"/>
        </w:rPr>
        <w:t> </w:t>
      </w:r>
      <w:r>
        <w:rPr/>
        <w:t>age</w:t>
      </w:r>
      <w:r>
        <w:rPr>
          <w:spacing w:val="71"/>
        </w:rPr>
        <w:t> </w:t>
      </w:r>
      <w:r>
        <w:rPr/>
        <w:t>of</w:t>
      </w:r>
      <w:r>
        <w:rPr>
          <w:spacing w:val="71"/>
        </w:rPr>
        <w:t> </w:t>
      </w:r>
      <w:r>
        <w:rPr/>
        <w:t>20,</w:t>
      </w:r>
      <w:r>
        <w:rPr>
          <w:spacing w:val="72"/>
        </w:rPr>
        <w:t> </w:t>
      </w:r>
      <w:r>
        <w:rPr/>
        <w:t>peripheral</w:t>
      </w:r>
      <w:r>
        <w:rPr>
          <w:spacing w:val="72"/>
        </w:rPr>
        <w:t> </w:t>
      </w:r>
      <w:r>
        <w:rPr>
          <w:spacing w:val="-2"/>
        </w:rPr>
        <w:t>sensorimotor</w:t>
      </w:r>
    </w:p>
    <w:p>
      <w:pPr>
        <w:pStyle w:val="BodyText"/>
        <w:spacing w:before="2"/>
      </w:pPr>
      <w:r>
        <w:rPr/>
        <mc:AlternateContent>
          <mc:Choice Requires="wps">
            <w:drawing>
              <wp:anchor distT="0" distB="0" distL="0" distR="0" allowOverlap="1" layoutInCell="1" locked="0" behindDoc="1" simplePos="0" relativeHeight="487588352">
                <wp:simplePos x="0" y="0"/>
                <wp:positionH relativeFrom="page">
                  <wp:posOffset>544322</wp:posOffset>
                </wp:positionH>
                <wp:positionV relativeFrom="paragraph">
                  <wp:posOffset>148252</wp:posOffset>
                </wp:positionV>
                <wp:extent cx="28854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2885440" cy="1270"/>
                        </a:xfrm>
                        <a:custGeom>
                          <a:avLst/>
                          <a:gdLst/>
                          <a:ahLst/>
                          <a:cxnLst/>
                          <a:rect l="l" t="t" r="r" b="b"/>
                          <a:pathLst>
                            <a:path w="2885440" h="0">
                              <a:moveTo>
                                <a:pt x="0" y="0"/>
                              </a:moveTo>
                              <a:lnTo>
                                <a:pt x="2885033"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2.860001pt;margin-top:11.673457pt;width:227.2pt;height:.1pt;mso-position-horizontal-relative:page;mso-position-vertical-relative:paragraph;z-index:-15728128;mso-wrap-distance-left:0;mso-wrap-distance-right:0" id="docshape5" coordorigin="857,233" coordsize="4544,0" path="m857,233l5401,233e" filled="false" stroked="true" strokeweight=".454pt" strokecolor="#000000">
                <v:path arrowok="t"/>
                <v:stroke dashstyle="solid"/>
                <w10:wrap type="topAndBottom"/>
              </v:shape>
            </w:pict>
          </mc:Fallback>
        </mc:AlternateContent>
      </w:r>
    </w:p>
    <w:p>
      <w:pPr>
        <w:spacing w:line="166" w:lineRule="exact" w:before="37"/>
        <w:ind w:left="7" w:right="0" w:firstLine="0"/>
        <w:jc w:val="both"/>
        <w:rPr>
          <w:sz w:val="15"/>
        </w:rPr>
      </w:pPr>
      <w:r>
        <w:rPr>
          <w:sz w:val="15"/>
        </w:rPr>
        <w:t>Received</w:t>
      </w:r>
      <w:r>
        <w:rPr>
          <w:spacing w:val="9"/>
          <w:sz w:val="15"/>
        </w:rPr>
        <w:t> </w:t>
      </w:r>
      <w:r>
        <w:rPr>
          <w:sz w:val="15"/>
        </w:rPr>
        <w:t>for</w:t>
      </w:r>
      <w:r>
        <w:rPr>
          <w:spacing w:val="9"/>
          <w:sz w:val="15"/>
        </w:rPr>
        <w:t> </w:t>
      </w:r>
      <w:r>
        <w:rPr>
          <w:sz w:val="15"/>
        </w:rPr>
        <w:t>publication</w:t>
      </w:r>
      <w:r>
        <w:rPr>
          <w:spacing w:val="10"/>
          <w:sz w:val="15"/>
        </w:rPr>
        <w:t> </w:t>
      </w:r>
      <w:r>
        <w:rPr>
          <w:sz w:val="15"/>
        </w:rPr>
        <w:t>August</w:t>
      </w:r>
      <w:r>
        <w:rPr>
          <w:spacing w:val="10"/>
          <w:sz w:val="15"/>
        </w:rPr>
        <w:t> </w:t>
      </w:r>
      <w:r>
        <w:rPr>
          <w:sz w:val="15"/>
        </w:rPr>
        <w:t>9,</w:t>
      </w:r>
      <w:r>
        <w:rPr>
          <w:spacing w:val="10"/>
          <w:sz w:val="15"/>
        </w:rPr>
        <w:t> </w:t>
      </w:r>
      <w:r>
        <w:rPr>
          <w:sz w:val="15"/>
        </w:rPr>
        <w:t>2010;</w:t>
      </w:r>
      <w:r>
        <w:rPr>
          <w:spacing w:val="10"/>
          <w:sz w:val="15"/>
        </w:rPr>
        <w:t> </w:t>
      </w:r>
      <w:r>
        <w:rPr>
          <w:sz w:val="15"/>
        </w:rPr>
        <w:t>accepted</w:t>
      </w:r>
      <w:r>
        <w:rPr>
          <w:spacing w:val="12"/>
          <w:sz w:val="15"/>
        </w:rPr>
        <w:t> </w:t>
      </w:r>
      <w:r>
        <w:rPr>
          <w:sz w:val="15"/>
        </w:rPr>
        <w:t>May</w:t>
      </w:r>
      <w:r>
        <w:rPr>
          <w:spacing w:val="9"/>
          <w:sz w:val="15"/>
        </w:rPr>
        <w:t> </w:t>
      </w:r>
      <w:r>
        <w:rPr>
          <w:sz w:val="15"/>
        </w:rPr>
        <w:t>30,</w:t>
      </w:r>
      <w:r>
        <w:rPr>
          <w:spacing w:val="10"/>
          <w:sz w:val="15"/>
        </w:rPr>
        <w:t> </w:t>
      </w:r>
      <w:r>
        <w:rPr>
          <w:spacing w:val="-2"/>
          <w:sz w:val="15"/>
        </w:rPr>
        <w:t>2012.</w:t>
      </w:r>
    </w:p>
    <w:p>
      <w:pPr>
        <w:spacing w:line="220" w:lineRule="auto" w:before="4"/>
        <w:ind w:left="246" w:right="0" w:hanging="240"/>
        <w:jc w:val="both"/>
        <w:rPr>
          <w:sz w:val="15"/>
        </w:rPr>
      </w:pPr>
      <w:r>
        <w:rPr>
          <w:sz w:val="15"/>
        </w:rPr>
        <w:t>From the *Department of Neurology, School of Medicine, University </w:t>
      </w:r>
      <w:r>
        <w:rPr>
          <w:sz w:val="15"/>
        </w:rPr>
        <w:t>of</w:t>
      </w:r>
      <w:r>
        <w:rPr>
          <w:spacing w:val="40"/>
          <w:sz w:val="15"/>
        </w:rPr>
        <w:t> </w:t>
      </w:r>
      <w:r>
        <w:rPr>
          <w:sz w:val="15"/>
        </w:rPr>
        <w:t>Zagreb; </w:t>
      </w:r>
      <w:r>
        <w:rPr>
          <w:rFonts w:ascii="Arial"/>
          <w:sz w:val="15"/>
        </w:rPr>
        <w:t>w</w:t>
      </w:r>
      <w:r>
        <w:rPr>
          <w:sz w:val="15"/>
        </w:rPr>
        <w:t>University Department of Neurology, Zagreb University</w:t>
      </w:r>
      <w:r>
        <w:rPr>
          <w:spacing w:val="40"/>
          <w:sz w:val="15"/>
        </w:rPr>
        <w:t> </w:t>
      </w:r>
      <w:r>
        <w:rPr>
          <w:sz w:val="15"/>
        </w:rPr>
        <w:t>Hospital Center, Referral Center for Demyelinating Diseases of the</w:t>
      </w:r>
      <w:r>
        <w:rPr>
          <w:spacing w:val="40"/>
          <w:sz w:val="15"/>
        </w:rPr>
        <w:t> </w:t>
      </w:r>
      <w:r>
        <w:rPr>
          <w:sz w:val="15"/>
        </w:rPr>
        <w:t>Central Nervous System; and zUniversity Department of Radiology,</w:t>
      </w:r>
      <w:r>
        <w:rPr>
          <w:spacing w:val="40"/>
          <w:sz w:val="15"/>
        </w:rPr>
        <w:t> </w:t>
      </w:r>
      <w:r>
        <w:rPr>
          <w:sz w:val="15"/>
        </w:rPr>
        <w:t>Zagreb University Hospital Center, Zagreb, Croatia.</w:t>
      </w:r>
    </w:p>
    <w:p>
      <w:pPr>
        <w:spacing w:line="220" w:lineRule="auto" w:before="3"/>
        <w:ind w:left="246" w:right="1" w:hanging="240"/>
        <w:jc w:val="both"/>
        <w:rPr>
          <w:sz w:val="15"/>
        </w:rPr>
      </w:pPr>
      <w:r>
        <w:rPr>
          <w:sz w:val="15"/>
        </w:rPr>
        <w:t>M.H. and V.V.B.: Study concept and design. M.H., Z.M., D.O., </w:t>
      </w:r>
      <w:r>
        <w:rPr>
          <w:sz w:val="15"/>
        </w:rPr>
        <w:t>and</w:t>
      </w:r>
      <w:r>
        <w:rPr>
          <w:spacing w:val="40"/>
          <w:sz w:val="15"/>
        </w:rPr>
        <w:t> </w:t>
      </w:r>
      <w:r>
        <w:rPr>
          <w:sz w:val="15"/>
        </w:rPr>
        <w:t>V.V.B.: Acquisition of data. M.H., B.B., I.A., Z.M., D.O., and </w:t>
      </w:r>
      <w:r>
        <w:rPr>
          <w:sz w:val="15"/>
        </w:rPr>
        <w:t>V.V.B.:</w:t>
      </w:r>
      <w:r>
        <w:rPr>
          <w:spacing w:val="40"/>
          <w:sz w:val="15"/>
        </w:rPr>
        <w:t> </w:t>
      </w:r>
      <w:r>
        <w:rPr>
          <w:sz w:val="15"/>
        </w:rPr>
        <w:t>Analysis and interpretation of data. M.H., B.B., and I.A.: Drafting </w:t>
      </w:r>
      <w:r>
        <w:rPr>
          <w:sz w:val="15"/>
        </w:rPr>
        <w:t>of</w:t>
      </w:r>
      <w:r>
        <w:rPr>
          <w:spacing w:val="40"/>
          <w:sz w:val="15"/>
        </w:rPr>
        <w:t> </w:t>
      </w:r>
      <w:r>
        <w:rPr>
          <w:sz w:val="15"/>
        </w:rPr>
        <w:t>the manuscript. M.H., B.B., I.A., Z.M., D.O., and V.V.B.: </w:t>
      </w:r>
      <w:r>
        <w:rPr>
          <w:sz w:val="15"/>
        </w:rPr>
        <w:t>Critical</w:t>
      </w:r>
      <w:r>
        <w:rPr>
          <w:spacing w:val="40"/>
          <w:sz w:val="15"/>
        </w:rPr>
        <w:t> </w:t>
      </w:r>
      <w:r>
        <w:rPr>
          <w:sz w:val="15"/>
        </w:rPr>
        <w:t>revision of the manuscript for important intellectual content. </w:t>
      </w:r>
      <w:r>
        <w:rPr>
          <w:sz w:val="15"/>
        </w:rPr>
        <w:t>M.H.,</w:t>
      </w:r>
      <w:r>
        <w:rPr>
          <w:spacing w:val="40"/>
          <w:sz w:val="15"/>
        </w:rPr>
        <w:t> </w:t>
      </w:r>
      <w:r>
        <w:rPr>
          <w:sz w:val="15"/>
        </w:rPr>
        <w:t>B.B., I.A., and D.O.: Administrative, technical, and material support.</w:t>
      </w:r>
    </w:p>
    <w:p>
      <w:pPr>
        <w:spacing w:line="159" w:lineRule="exact" w:before="0"/>
        <w:ind w:left="7" w:right="0" w:firstLine="0"/>
        <w:jc w:val="both"/>
        <w:rPr>
          <w:sz w:val="15"/>
        </w:rPr>
      </w:pPr>
      <w:r>
        <w:rPr>
          <w:sz w:val="15"/>
        </w:rPr>
        <w:t>The</w:t>
      </w:r>
      <w:r>
        <w:rPr>
          <w:spacing w:val="9"/>
          <w:sz w:val="15"/>
        </w:rPr>
        <w:t> </w:t>
      </w:r>
      <w:r>
        <w:rPr>
          <w:sz w:val="15"/>
        </w:rPr>
        <w:t>authors</w:t>
      </w:r>
      <w:r>
        <w:rPr>
          <w:spacing w:val="9"/>
          <w:sz w:val="15"/>
        </w:rPr>
        <w:t> </w:t>
      </w:r>
      <w:r>
        <w:rPr>
          <w:sz w:val="15"/>
        </w:rPr>
        <w:t>declare</w:t>
      </w:r>
      <w:r>
        <w:rPr>
          <w:spacing w:val="10"/>
          <w:sz w:val="15"/>
        </w:rPr>
        <w:t> </w:t>
      </w:r>
      <w:r>
        <w:rPr>
          <w:sz w:val="15"/>
        </w:rPr>
        <w:t>no</w:t>
      </w:r>
      <w:r>
        <w:rPr>
          <w:spacing w:val="9"/>
          <w:sz w:val="15"/>
        </w:rPr>
        <w:t> </w:t>
      </w:r>
      <w:r>
        <w:rPr>
          <w:sz w:val="15"/>
        </w:rPr>
        <w:t>conflict</w:t>
      </w:r>
      <w:r>
        <w:rPr>
          <w:spacing w:val="11"/>
          <w:sz w:val="15"/>
        </w:rPr>
        <w:t> </w:t>
      </w:r>
      <w:r>
        <w:rPr>
          <w:sz w:val="15"/>
        </w:rPr>
        <w:t>of</w:t>
      </w:r>
      <w:r>
        <w:rPr>
          <w:spacing w:val="10"/>
          <w:sz w:val="15"/>
        </w:rPr>
        <w:t> </w:t>
      </w:r>
      <w:r>
        <w:rPr>
          <w:spacing w:val="-2"/>
          <w:sz w:val="15"/>
        </w:rPr>
        <w:t>interest.</w:t>
      </w:r>
    </w:p>
    <w:p>
      <w:pPr>
        <w:spacing w:line="220" w:lineRule="auto" w:before="5"/>
        <w:ind w:left="246" w:right="1" w:hanging="240"/>
        <w:jc w:val="both"/>
        <w:rPr>
          <w:sz w:val="15"/>
        </w:rPr>
      </w:pPr>
      <w:r>
        <w:rPr>
          <w:sz w:val="15"/>
        </w:rPr>
        <w:t>Reprints: Mario Habek, MD, University Department of</w:t>
      </w:r>
      <w:r>
        <w:rPr>
          <w:spacing w:val="-1"/>
          <w:sz w:val="15"/>
        </w:rPr>
        <w:t> </w:t>
      </w:r>
      <w:r>
        <w:rPr>
          <w:sz w:val="15"/>
        </w:rPr>
        <w:t>Neurology, </w:t>
      </w:r>
      <w:r>
        <w:rPr>
          <w:sz w:val="15"/>
        </w:rPr>
        <w:t>Zagreb</w:t>
      </w:r>
      <w:r>
        <w:rPr>
          <w:spacing w:val="40"/>
          <w:sz w:val="15"/>
        </w:rPr>
        <w:t> </w:t>
      </w:r>
      <w:r>
        <w:rPr>
          <w:sz w:val="15"/>
        </w:rPr>
        <w:t>School of Medicine and University Hospital Center, Kisˇpatic´eva 12,</w:t>
      </w:r>
      <w:r>
        <w:rPr>
          <w:spacing w:val="40"/>
          <w:sz w:val="15"/>
        </w:rPr>
        <w:t> </w:t>
      </w:r>
      <w:r>
        <w:rPr>
          <w:sz w:val="15"/>
        </w:rPr>
        <w:t>Zagreb HR-10000, Croatia. E-mail: </w:t>
      </w:r>
      <w:hyperlink r:id="rId5">
        <w:r>
          <w:rPr>
            <w:sz w:val="15"/>
          </w:rPr>
          <w:t>mhabek@mef.hr.</w:t>
        </w:r>
      </w:hyperlink>
    </w:p>
    <w:p>
      <w:pPr>
        <w:spacing w:line="220" w:lineRule="auto" w:before="1"/>
        <w:ind w:left="7" w:right="1238" w:firstLine="0"/>
        <w:jc w:val="both"/>
        <w:rPr>
          <w:sz w:val="15"/>
        </w:rPr>
      </w:pPr>
      <w:r>
        <w:rPr>
          <w:sz w:val="15"/>
        </w:rPr>
        <w:t>Copyright </w:t>
      </w:r>
      <w:r>
        <w:rPr>
          <w:rFonts w:ascii="Arial"/>
          <w:position w:val="2"/>
          <w:sz w:val="13"/>
        </w:rPr>
        <w:t>r </w:t>
      </w:r>
      <w:r>
        <w:rPr>
          <w:sz w:val="15"/>
        </w:rPr>
        <w:t>2012 by Lippincott Williams &amp; </w:t>
      </w:r>
      <w:r>
        <w:rPr>
          <w:sz w:val="15"/>
        </w:rPr>
        <w:t>Wilkins</w:t>
      </w:r>
      <w:r>
        <w:rPr>
          <w:spacing w:val="40"/>
          <w:sz w:val="15"/>
        </w:rPr>
        <w:t> </w:t>
      </w:r>
      <w:r>
        <w:rPr>
          <w:sz w:val="15"/>
        </w:rPr>
        <w:t>ISSN: 1074-7931/12/1805-0287</w:t>
      </w:r>
    </w:p>
    <w:p>
      <w:pPr>
        <w:spacing w:line="163" w:lineRule="exact" w:before="0"/>
        <w:ind w:left="7" w:right="0" w:firstLine="0"/>
        <w:jc w:val="both"/>
        <w:rPr>
          <w:sz w:val="15"/>
        </w:rPr>
      </w:pPr>
      <w:r>
        <w:rPr>
          <w:sz w:val="15"/>
        </w:rPr>
        <w:t>DOI:</w:t>
      </w:r>
      <w:r>
        <w:rPr>
          <w:spacing w:val="9"/>
          <w:sz w:val="15"/>
        </w:rPr>
        <w:t> </w:t>
      </w:r>
      <w:r>
        <w:rPr>
          <w:spacing w:val="-2"/>
          <w:sz w:val="15"/>
        </w:rPr>
        <w:t>10.1097/NRL.0b013e318266f5a6</w:t>
      </w:r>
    </w:p>
    <w:p>
      <w:pPr>
        <w:pStyle w:val="BodyText"/>
        <w:spacing w:line="230" w:lineRule="auto" w:before="78"/>
        <w:ind w:left="7" w:right="3"/>
        <w:jc w:val="both"/>
      </w:pPr>
      <w:r>
        <w:rPr/>
        <w:br w:type="column"/>
      </w:r>
      <w:r>
        <w:rPr/>
        <w:t>neuropathy with loss of proprioception and vibration sense </w:t>
      </w:r>
      <w:r>
        <w:rPr/>
        <w:t>as prominent</w:t>
      </w:r>
      <w:r>
        <w:rPr>
          <w:spacing w:val="-5"/>
        </w:rPr>
        <w:t> </w:t>
      </w:r>
      <w:r>
        <w:rPr/>
        <w:t>signs,</w:t>
      </w:r>
      <w:r>
        <w:rPr>
          <w:spacing w:val="-5"/>
        </w:rPr>
        <w:t> </w:t>
      </w:r>
      <w:r>
        <w:rPr/>
        <w:t>absence</w:t>
      </w:r>
      <w:r>
        <w:rPr>
          <w:spacing w:val="-4"/>
        </w:rPr>
        <w:t> </w:t>
      </w:r>
      <w:r>
        <w:rPr/>
        <w:t>of</w:t>
      </w:r>
      <w:r>
        <w:rPr>
          <w:spacing w:val="-5"/>
        </w:rPr>
        <w:t> </w:t>
      </w:r>
      <w:r>
        <w:rPr/>
        <w:t>deep</w:t>
      </w:r>
      <w:r>
        <w:rPr>
          <w:spacing w:val="-4"/>
        </w:rPr>
        <w:t> </w:t>
      </w:r>
      <w:r>
        <w:rPr/>
        <w:t>tendon</w:t>
      </w:r>
      <w:r>
        <w:rPr>
          <w:spacing w:val="-5"/>
        </w:rPr>
        <w:t> </w:t>
      </w:r>
      <w:r>
        <w:rPr/>
        <w:t>reflexes,</w:t>
      </w:r>
      <w:r>
        <w:rPr>
          <w:spacing w:val="-4"/>
        </w:rPr>
        <w:t> </w:t>
      </w:r>
      <w:r>
        <w:rPr/>
        <w:t>and</w:t>
      </w:r>
      <w:r>
        <w:rPr>
          <w:spacing w:val="-5"/>
        </w:rPr>
        <w:t> </w:t>
      </w:r>
      <w:r>
        <w:rPr/>
        <w:t>involve- ment of other systems besides the nervous system.</w:t>
      </w:r>
      <w:hyperlink w:history="true" w:anchor="_bookmark1">
        <w:r>
          <w:rPr>
            <w:vertAlign w:val="superscript"/>
          </w:rPr>
          <w:t>1</w:t>
        </w:r>
      </w:hyperlink>
      <w:r>
        <w:rPr>
          <w:vertAlign w:val="baseline"/>
        </w:rPr>
        <w:t> It is clinically</w:t>
      </w:r>
      <w:r>
        <w:rPr>
          <w:spacing w:val="40"/>
          <w:vertAlign w:val="baseline"/>
        </w:rPr>
        <w:t> </w:t>
      </w:r>
      <w:r>
        <w:rPr>
          <w:vertAlign w:val="baseline"/>
        </w:rPr>
        <w:t>useful</w:t>
      </w:r>
      <w:r>
        <w:rPr>
          <w:spacing w:val="40"/>
          <w:vertAlign w:val="baseline"/>
        </w:rPr>
        <w:t> </w:t>
      </w:r>
      <w:r>
        <w:rPr>
          <w:vertAlign w:val="baseline"/>
        </w:rPr>
        <w:t>to</w:t>
      </w:r>
      <w:r>
        <w:rPr>
          <w:spacing w:val="40"/>
          <w:vertAlign w:val="baseline"/>
        </w:rPr>
        <w:t> </w:t>
      </w:r>
      <w:r>
        <w:rPr>
          <w:vertAlign w:val="baseline"/>
        </w:rPr>
        <w:t>divide</w:t>
      </w:r>
      <w:r>
        <w:rPr>
          <w:spacing w:val="40"/>
          <w:vertAlign w:val="baseline"/>
        </w:rPr>
        <w:t> </w:t>
      </w:r>
      <w:r>
        <w:rPr>
          <w:vertAlign w:val="baseline"/>
        </w:rPr>
        <w:t>autosomal</w:t>
      </w:r>
      <w:r>
        <w:rPr>
          <w:spacing w:val="40"/>
          <w:vertAlign w:val="baseline"/>
        </w:rPr>
        <w:t> </w:t>
      </w:r>
      <w:r>
        <w:rPr>
          <w:vertAlign w:val="baseline"/>
        </w:rPr>
        <w:t>recessive</w:t>
      </w:r>
      <w:r>
        <w:rPr>
          <w:spacing w:val="40"/>
          <w:vertAlign w:val="baseline"/>
        </w:rPr>
        <w:t> </w:t>
      </w:r>
      <w:r>
        <w:rPr>
          <w:vertAlign w:val="baseline"/>
        </w:rPr>
        <w:t>ataxias</w:t>
      </w:r>
      <w:r>
        <w:rPr>
          <w:spacing w:val="40"/>
          <w:vertAlign w:val="baseline"/>
        </w:rPr>
        <w:t> </w:t>
      </w:r>
      <w:r>
        <w:rPr>
          <w:vertAlign w:val="baseline"/>
        </w:rPr>
        <w:t>into 2 groups. In one group, there are disorders in which the phe- notype resembles Friedreich ataxia [including polymerase g </w:t>
      </w:r>
      <w:r>
        <w:rPr>
          <w:spacing w:val="-2"/>
          <w:vertAlign w:val="baseline"/>
        </w:rPr>
        <w:t>(POLG)</w:t>
      </w:r>
      <w:r>
        <w:rPr>
          <w:spacing w:val="-9"/>
          <w:vertAlign w:val="baseline"/>
        </w:rPr>
        <w:t> </w:t>
      </w:r>
      <w:r>
        <w:rPr>
          <w:spacing w:val="-2"/>
          <w:vertAlign w:val="baseline"/>
        </w:rPr>
        <w:t>mutations</w:t>
      </w:r>
      <w:r>
        <w:rPr>
          <w:spacing w:val="-8"/>
          <w:vertAlign w:val="baseline"/>
        </w:rPr>
        <w:t> </w:t>
      </w:r>
      <w:r>
        <w:rPr>
          <w:spacing w:val="-2"/>
          <w:vertAlign w:val="baseline"/>
        </w:rPr>
        <w:t>phenotype],</w:t>
      </w:r>
      <w:r>
        <w:rPr>
          <w:spacing w:val="-7"/>
          <w:vertAlign w:val="baseline"/>
        </w:rPr>
        <w:t> </w:t>
      </w:r>
      <w:r>
        <w:rPr>
          <w:spacing w:val="-2"/>
          <w:vertAlign w:val="baseline"/>
        </w:rPr>
        <w:t>whereas</w:t>
      </w:r>
      <w:r>
        <w:rPr>
          <w:spacing w:val="-6"/>
          <w:vertAlign w:val="baseline"/>
        </w:rPr>
        <w:t> </w:t>
      </w:r>
      <w:r>
        <w:rPr>
          <w:spacing w:val="-2"/>
          <w:vertAlign w:val="baseline"/>
        </w:rPr>
        <w:t>the</w:t>
      </w:r>
      <w:r>
        <w:rPr>
          <w:spacing w:val="-9"/>
          <w:vertAlign w:val="baseline"/>
        </w:rPr>
        <w:t> </w:t>
      </w:r>
      <w:r>
        <w:rPr>
          <w:spacing w:val="-2"/>
          <w:vertAlign w:val="baseline"/>
        </w:rPr>
        <w:t>other</w:t>
      </w:r>
      <w:r>
        <w:rPr>
          <w:spacing w:val="-9"/>
          <w:vertAlign w:val="baseline"/>
        </w:rPr>
        <w:t> </w:t>
      </w:r>
      <w:r>
        <w:rPr>
          <w:spacing w:val="-2"/>
          <w:vertAlign w:val="baseline"/>
        </w:rPr>
        <w:t>group</w:t>
      </w:r>
      <w:r>
        <w:rPr>
          <w:spacing w:val="-8"/>
          <w:vertAlign w:val="baseline"/>
        </w:rPr>
        <w:t> </w:t>
      </w:r>
      <w:r>
        <w:rPr>
          <w:spacing w:val="-2"/>
          <w:vertAlign w:val="baseline"/>
        </w:rPr>
        <w:t>includes </w:t>
      </w:r>
      <w:r>
        <w:rPr>
          <w:vertAlign w:val="baseline"/>
        </w:rPr>
        <w:t>early-onset ataxias with cerebellar atrophy. This emphasizes magnetic</w:t>
      </w:r>
      <w:r>
        <w:rPr>
          <w:spacing w:val="-9"/>
          <w:vertAlign w:val="baseline"/>
        </w:rPr>
        <w:t> </w:t>
      </w:r>
      <w:r>
        <w:rPr>
          <w:vertAlign w:val="baseline"/>
        </w:rPr>
        <w:t>resonance</w:t>
      </w:r>
      <w:r>
        <w:rPr>
          <w:spacing w:val="-10"/>
          <w:vertAlign w:val="baseline"/>
        </w:rPr>
        <w:t> </w:t>
      </w:r>
      <w:r>
        <w:rPr>
          <w:vertAlign w:val="baseline"/>
        </w:rPr>
        <w:t>imaging</w:t>
      </w:r>
      <w:r>
        <w:rPr>
          <w:spacing w:val="-10"/>
          <w:vertAlign w:val="baseline"/>
        </w:rPr>
        <w:t> </w:t>
      </w:r>
      <w:r>
        <w:rPr>
          <w:vertAlign w:val="baseline"/>
        </w:rPr>
        <w:t>(MRI)</w:t>
      </w:r>
      <w:r>
        <w:rPr>
          <w:spacing w:val="-10"/>
          <w:vertAlign w:val="baseline"/>
        </w:rPr>
        <w:t> </w:t>
      </w:r>
      <w:r>
        <w:rPr>
          <w:vertAlign w:val="baseline"/>
        </w:rPr>
        <w:t>of</w:t>
      </w:r>
      <w:r>
        <w:rPr>
          <w:spacing w:val="-9"/>
          <w:vertAlign w:val="baseline"/>
        </w:rPr>
        <w:t> </w:t>
      </w:r>
      <w:r>
        <w:rPr>
          <w:vertAlign w:val="baseline"/>
        </w:rPr>
        <w:t>the</w:t>
      </w:r>
      <w:r>
        <w:rPr>
          <w:spacing w:val="-9"/>
          <w:vertAlign w:val="baseline"/>
        </w:rPr>
        <w:t> </w:t>
      </w:r>
      <w:r>
        <w:rPr>
          <w:vertAlign w:val="baseline"/>
        </w:rPr>
        <w:t>brain</w:t>
      </w:r>
      <w:r>
        <w:rPr>
          <w:spacing w:val="-10"/>
          <w:vertAlign w:val="baseline"/>
        </w:rPr>
        <w:t> </w:t>
      </w:r>
      <w:r>
        <w:rPr>
          <w:vertAlign w:val="baseline"/>
        </w:rPr>
        <w:t>as</w:t>
      </w:r>
      <w:r>
        <w:rPr>
          <w:spacing w:val="-11"/>
          <w:vertAlign w:val="baseline"/>
        </w:rPr>
        <w:t> </w:t>
      </w:r>
      <w:r>
        <w:rPr>
          <w:vertAlign w:val="baseline"/>
        </w:rPr>
        <w:t>an</w:t>
      </w:r>
      <w:r>
        <w:rPr>
          <w:spacing w:val="-11"/>
          <w:vertAlign w:val="baseline"/>
        </w:rPr>
        <w:t> </w:t>
      </w:r>
      <w:r>
        <w:rPr>
          <w:vertAlign w:val="baseline"/>
        </w:rPr>
        <w:t>important diagnostic tool.</w:t>
      </w:r>
      <w:hyperlink w:history="true" w:anchor="_bookmark1">
        <w:r>
          <w:rPr>
            <w:vertAlign w:val="superscript"/>
          </w:rPr>
          <w:t>1</w:t>
        </w:r>
      </w:hyperlink>
    </w:p>
    <w:p>
      <w:pPr>
        <w:pStyle w:val="BodyText"/>
        <w:spacing w:line="230" w:lineRule="auto" w:before="5"/>
        <w:ind w:left="7" w:right="3" w:firstLine="376"/>
        <w:jc w:val="both"/>
      </w:pPr>
      <w:r>
        <w:rPr>
          <w:spacing w:val="-2"/>
        </w:rPr>
        <w:t>Defects</w:t>
      </w:r>
      <w:r>
        <w:rPr>
          <w:spacing w:val="-5"/>
        </w:rPr>
        <w:t> </w:t>
      </w:r>
      <w:r>
        <w:rPr>
          <w:spacing w:val="-2"/>
        </w:rPr>
        <w:t>in</w:t>
      </w:r>
      <w:r>
        <w:rPr>
          <w:spacing w:val="-6"/>
        </w:rPr>
        <w:t> </w:t>
      </w:r>
      <w:r>
        <w:rPr>
          <w:spacing w:val="-2"/>
        </w:rPr>
        <w:t>mitochondrial</w:t>
      </w:r>
      <w:r>
        <w:rPr>
          <w:spacing w:val="-5"/>
        </w:rPr>
        <w:t> </w:t>
      </w:r>
      <w:r>
        <w:rPr>
          <w:spacing w:val="-2"/>
        </w:rPr>
        <w:t>DNA</w:t>
      </w:r>
      <w:r>
        <w:rPr>
          <w:spacing w:val="-5"/>
        </w:rPr>
        <w:t> </w:t>
      </w:r>
      <w:r>
        <w:rPr>
          <w:spacing w:val="-2"/>
        </w:rPr>
        <w:t>(mtDNA)</w:t>
      </w:r>
      <w:r>
        <w:rPr>
          <w:spacing w:val="-4"/>
        </w:rPr>
        <w:t> </w:t>
      </w:r>
      <w:r>
        <w:rPr>
          <w:spacing w:val="-2"/>
        </w:rPr>
        <w:t>may</w:t>
      </w:r>
      <w:r>
        <w:rPr>
          <w:spacing w:val="-6"/>
        </w:rPr>
        <w:t> </w:t>
      </w:r>
      <w:r>
        <w:rPr>
          <w:spacing w:val="-2"/>
        </w:rPr>
        <w:t>be</w:t>
      </w:r>
      <w:r>
        <w:rPr>
          <w:spacing w:val="-6"/>
        </w:rPr>
        <w:t> </w:t>
      </w:r>
      <w:r>
        <w:rPr>
          <w:spacing w:val="-2"/>
        </w:rPr>
        <w:t>a</w:t>
      </w:r>
      <w:r>
        <w:rPr>
          <w:spacing w:val="-5"/>
        </w:rPr>
        <w:t> </w:t>
      </w:r>
      <w:r>
        <w:rPr>
          <w:spacing w:val="-2"/>
        </w:rPr>
        <w:t>product </w:t>
      </w:r>
      <w:r>
        <w:rPr/>
        <w:t>of mutations of mitochondrial or nuclear genome involved in mtDNA homeostasis.</w:t>
      </w:r>
      <w:hyperlink w:history="true" w:anchor="_bookmark2">
        <w:r>
          <w:rPr>
            <w:vertAlign w:val="superscript"/>
          </w:rPr>
          <w:t>2</w:t>
        </w:r>
      </w:hyperlink>
      <w:r>
        <w:rPr>
          <w:vertAlign w:val="baseline"/>
        </w:rPr>
        <w:t> Mutations of nuclear genes such as mtDNA</w:t>
      </w:r>
      <w:r>
        <w:rPr>
          <w:spacing w:val="-3"/>
          <w:vertAlign w:val="baseline"/>
        </w:rPr>
        <w:t> </w:t>
      </w:r>
      <w:r>
        <w:rPr>
          <w:vertAlign w:val="baseline"/>
        </w:rPr>
        <w:t>polymerase</w:t>
      </w:r>
      <w:r>
        <w:rPr>
          <w:spacing w:val="-5"/>
          <w:vertAlign w:val="baseline"/>
        </w:rPr>
        <w:t> </w:t>
      </w:r>
      <w:r>
        <w:rPr>
          <w:vertAlign w:val="baseline"/>
        </w:rPr>
        <w:t>(POLG),</w:t>
      </w:r>
      <w:hyperlink w:history="true" w:anchor="_bookmark3">
        <w:r>
          <w:rPr>
            <w:vertAlign w:val="superscript"/>
          </w:rPr>
          <w:t>3</w:t>
        </w:r>
      </w:hyperlink>
      <w:r>
        <w:rPr>
          <w:spacing w:val="-3"/>
          <w:vertAlign w:val="baseline"/>
        </w:rPr>
        <w:t> </w:t>
      </w:r>
      <w:r>
        <w:rPr>
          <w:vertAlign w:val="baseline"/>
        </w:rPr>
        <w:t>adenine</w:t>
      </w:r>
      <w:r>
        <w:rPr>
          <w:spacing w:val="-3"/>
          <w:vertAlign w:val="baseline"/>
        </w:rPr>
        <w:t> </w:t>
      </w:r>
      <w:r>
        <w:rPr>
          <w:vertAlign w:val="baseline"/>
        </w:rPr>
        <w:t>nucleotide</w:t>
      </w:r>
      <w:r>
        <w:rPr>
          <w:spacing w:val="-4"/>
          <w:vertAlign w:val="baseline"/>
        </w:rPr>
        <w:t> </w:t>
      </w:r>
      <w:r>
        <w:rPr>
          <w:vertAlign w:val="baseline"/>
        </w:rPr>
        <w:t>transporter,</w:t>
      </w:r>
      <w:hyperlink w:history="true" w:anchor="_bookmark4">
        <w:r>
          <w:rPr>
            <w:vertAlign w:val="superscript"/>
          </w:rPr>
          <w:t>4</w:t>
        </w:r>
      </w:hyperlink>
      <w:r>
        <w:rPr>
          <w:vertAlign w:val="baseline"/>
        </w:rPr>
        <w:t> and</w:t>
      </w:r>
      <w:r>
        <w:rPr>
          <w:spacing w:val="-10"/>
          <w:vertAlign w:val="baseline"/>
        </w:rPr>
        <w:t> </w:t>
      </w:r>
      <w:r>
        <w:rPr>
          <w:vertAlign w:val="baseline"/>
        </w:rPr>
        <w:t>Twinkle,</w:t>
      </w:r>
      <w:r>
        <w:rPr>
          <w:spacing w:val="-10"/>
          <w:vertAlign w:val="baseline"/>
        </w:rPr>
        <w:t> </w:t>
      </w:r>
      <w:r>
        <w:rPr>
          <w:vertAlign w:val="baseline"/>
        </w:rPr>
        <w:t>a</w:t>
      </w:r>
      <w:r>
        <w:rPr>
          <w:spacing w:val="-10"/>
          <w:vertAlign w:val="baseline"/>
        </w:rPr>
        <w:t> </w:t>
      </w:r>
      <w:r>
        <w:rPr>
          <w:vertAlign w:val="baseline"/>
        </w:rPr>
        <w:t>mitochondrial</w:t>
      </w:r>
      <w:r>
        <w:rPr>
          <w:spacing w:val="-12"/>
          <w:vertAlign w:val="baseline"/>
        </w:rPr>
        <w:t> </w:t>
      </w:r>
      <w:r>
        <w:rPr>
          <w:vertAlign w:val="baseline"/>
        </w:rPr>
        <w:t>helicase</w:t>
      </w:r>
      <w:hyperlink w:history="true" w:anchor="_bookmark5">
        <w:r>
          <w:rPr>
            <w:vertAlign w:val="superscript"/>
          </w:rPr>
          <w:t>5</w:t>
        </w:r>
      </w:hyperlink>
      <w:r>
        <w:rPr>
          <w:spacing w:val="-10"/>
          <w:vertAlign w:val="baseline"/>
        </w:rPr>
        <w:t> </w:t>
      </w:r>
      <w:r>
        <w:rPr>
          <w:vertAlign w:val="baseline"/>
        </w:rPr>
        <w:t>cause</w:t>
      </w:r>
      <w:r>
        <w:rPr>
          <w:spacing w:val="-11"/>
          <w:vertAlign w:val="baseline"/>
        </w:rPr>
        <w:t> </w:t>
      </w:r>
      <w:r>
        <w:rPr>
          <w:vertAlign w:val="baseline"/>
        </w:rPr>
        <w:t>mtDNA</w:t>
      </w:r>
      <w:r>
        <w:rPr>
          <w:spacing w:val="-10"/>
          <w:vertAlign w:val="baseline"/>
        </w:rPr>
        <w:t> </w:t>
      </w:r>
      <w:r>
        <w:rPr>
          <w:vertAlign w:val="baseline"/>
        </w:rPr>
        <w:t>deletions or a quantitative loss called mtDNA depletion. Although most common phenotypic presentation of these nuclear genome defects is progressive external ophthalmoplegia (PEO),</w:t>
      </w:r>
      <w:hyperlink w:history="true" w:anchor="_bookmark3">
        <w:r>
          <w:rPr>
            <w:vertAlign w:val="superscript"/>
          </w:rPr>
          <w:t>3</w:t>
        </w:r>
      </w:hyperlink>
      <w:r>
        <w:rPr>
          <w:vertAlign w:val="baseline"/>
        </w:rPr>
        <w:t> other </w:t>
      </w:r>
      <w:r>
        <w:rPr>
          <w:spacing w:val="-2"/>
          <w:vertAlign w:val="baseline"/>
        </w:rPr>
        <w:t>manifestations have been described, particularly in</w:t>
      </w:r>
      <w:r>
        <w:rPr>
          <w:spacing w:val="-3"/>
          <w:vertAlign w:val="baseline"/>
        </w:rPr>
        <w:t> </w:t>
      </w:r>
      <w:r>
        <w:rPr>
          <w:spacing w:val="-2"/>
          <w:vertAlign w:val="baseline"/>
        </w:rPr>
        <w:t>patients</w:t>
      </w:r>
      <w:r>
        <w:rPr>
          <w:spacing w:val="-3"/>
          <w:vertAlign w:val="baseline"/>
        </w:rPr>
        <w:t> </w:t>
      </w:r>
      <w:r>
        <w:rPr>
          <w:spacing w:val="-2"/>
          <w:vertAlign w:val="baseline"/>
        </w:rPr>
        <w:t>with </w:t>
      </w:r>
      <w:r>
        <w:rPr>
          <w:vertAlign w:val="baseline"/>
        </w:rPr>
        <w:t>mutations</w:t>
      </w:r>
      <w:r>
        <w:rPr>
          <w:spacing w:val="-5"/>
          <w:vertAlign w:val="baseline"/>
        </w:rPr>
        <w:t> </w:t>
      </w:r>
      <w:r>
        <w:rPr>
          <w:vertAlign w:val="baseline"/>
        </w:rPr>
        <w:t>affecting</w:t>
      </w:r>
      <w:r>
        <w:rPr>
          <w:spacing w:val="-4"/>
          <w:vertAlign w:val="baseline"/>
        </w:rPr>
        <w:t> </w:t>
      </w:r>
      <w:r>
        <w:rPr>
          <w:vertAlign w:val="baseline"/>
        </w:rPr>
        <w:t>POLG.</w:t>
      </w:r>
      <w:r>
        <w:rPr>
          <w:spacing w:val="-5"/>
          <w:vertAlign w:val="baseline"/>
        </w:rPr>
        <w:t> </w:t>
      </w:r>
      <w:r>
        <w:rPr>
          <w:vertAlign w:val="baseline"/>
        </w:rPr>
        <w:t>Many</w:t>
      </w:r>
      <w:r>
        <w:rPr>
          <w:spacing w:val="-4"/>
          <w:vertAlign w:val="baseline"/>
        </w:rPr>
        <w:t> </w:t>
      </w:r>
      <w:r>
        <w:rPr>
          <w:vertAlign w:val="baseline"/>
        </w:rPr>
        <w:t>mitochondrial</w:t>
      </w:r>
      <w:r>
        <w:rPr>
          <w:spacing w:val="-5"/>
          <w:vertAlign w:val="baseline"/>
        </w:rPr>
        <w:t> </w:t>
      </w:r>
      <w:r>
        <w:rPr>
          <w:vertAlign w:val="baseline"/>
        </w:rPr>
        <w:t>disorders</w:t>
      </w:r>
      <w:r>
        <w:rPr>
          <w:spacing w:val="-5"/>
          <w:vertAlign w:val="baseline"/>
        </w:rPr>
        <w:t> </w:t>
      </w:r>
      <w:r>
        <w:rPr>
          <w:vertAlign w:val="baseline"/>
        </w:rPr>
        <w:t>may include ataxia as an additional sign, but only disorders asso- ciated</w:t>
      </w:r>
      <w:r>
        <w:rPr>
          <w:spacing w:val="-5"/>
          <w:vertAlign w:val="baseline"/>
        </w:rPr>
        <w:t> </w:t>
      </w:r>
      <w:r>
        <w:rPr>
          <w:vertAlign w:val="baseline"/>
        </w:rPr>
        <w:t>with</w:t>
      </w:r>
      <w:r>
        <w:rPr>
          <w:spacing w:val="-5"/>
          <w:vertAlign w:val="baseline"/>
        </w:rPr>
        <w:t> </w:t>
      </w:r>
      <w:r>
        <w:rPr>
          <w:vertAlign w:val="baseline"/>
        </w:rPr>
        <w:t>POLG</w:t>
      </w:r>
      <w:r>
        <w:rPr>
          <w:spacing w:val="-4"/>
          <w:vertAlign w:val="baseline"/>
        </w:rPr>
        <w:t> </w:t>
      </w:r>
      <w:r>
        <w:rPr>
          <w:vertAlign w:val="baseline"/>
        </w:rPr>
        <w:t>mutation</w:t>
      </w:r>
      <w:r>
        <w:rPr>
          <w:spacing w:val="-3"/>
          <w:vertAlign w:val="baseline"/>
        </w:rPr>
        <w:t> </w:t>
      </w:r>
      <w:r>
        <w:rPr>
          <w:vertAlign w:val="baseline"/>
        </w:rPr>
        <w:t>and</w:t>
      </w:r>
      <w:r>
        <w:rPr>
          <w:spacing w:val="-3"/>
          <w:vertAlign w:val="baseline"/>
        </w:rPr>
        <w:t> </w:t>
      </w:r>
      <w:r>
        <w:rPr>
          <w:vertAlign w:val="baseline"/>
        </w:rPr>
        <w:t>infantile-onset</w:t>
      </w:r>
      <w:r>
        <w:rPr>
          <w:spacing w:val="-4"/>
          <w:vertAlign w:val="baseline"/>
        </w:rPr>
        <w:t> </w:t>
      </w:r>
      <w:r>
        <w:rPr>
          <w:vertAlign w:val="baseline"/>
        </w:rPr>
        <w:t>spinocerebellar ataxia</w:t>
      </w:r>
      <w:r>
        <w:rPr>
          <w:spacing w:val="-6"/>
          <w:vertAlign w:val="baseline"/>
        </w:rPr>
        <w:t> </w:t>
      </w:r>
      <w:r>
        <w:rPr>
          <w:vertAlign w:val="baseline"/>
        </w:rPr>
        <w:t>caused</w:t>
      </w:r>
      <w:r>
        <w:rPr>
          <w:spacing w:val="-6"/>
          <w:vertAlign w:val="baseline"/>
        </w:rPr>
        <w:t> </w:t>
      </w:r>
      <w:r>
        <w:rPr>
          <w:vertAlign w:val="baseline"/>
        </w:rPr>
        <w:t>by</w:t>
      </w:r>
      <w:r>
        <w:rPr>
          <w:spacing w:val="-6"/>
          <w:vertAlign w:val="baseline"/>
        </w:rPr>
        <w:t> </w:t>
      </w:r>
      <w:r>
        <w:rPr>
          <w:vertAlign w:val="baseline"/>
        </w:rPr>
        <w:t>mutation</w:t>
      </w:r>
      <w:r>
        <w:rPr>
          <w:spacing w:val="-6"/>
          <w:vertAlign w:val="baseline"/>
        </w:rPr>
        <w:t> </w:t>
      </w:r>
      <w:r>
        <w:rPr>
          <w:vertAlign w:val="baseline"/>
        </w:rPr>
        <w:t>of</w:t>
      </w:r>
      <w:r>
        <w:rPr>
          <w:spacing w:val="-5"/>
          <w:vertAlign w:val="baseline"/>
        </w:rPr>
        <w:t> </w:t>
      </w:r>
      <w:r>
        <w:rPr>
          <w:vertAlign w:val="baseline"/>
        </w:rPr>
        <w:t>the</w:t>
      </w:r>
      <w:r>
        <w:rPr>
          <w:spacing w:val="-5"/>
          <w:vertAlign w:val="baseline"/>
        </w:rPr>
        <w:t> </w:t>
      </w:r>
      <w:r>
        <w:rPr>
          <w:vertAlign w:val="baseline"/>
        </w:rPr>
        <w:t>C10orf2</w:t>
      </w:r>
      <w:r>
        <w:rPr>
          <w:spacing w:val="-5"/>
          <w:vertAlign w:val="baseline"/>
        </w:rPr>
        <w:t> </w:t>
      </w:r>
      <w:r>
        <w:rPr>
          <w:vertAlign w:val="baseline"/>
        </w:rPr>
        <w:t>gene</w:t>
      </w:r>
      <w:r>
        <w:rPr>
          <w:spacing w:val="-5"/>
          <w:vertAlign w:val="baseline"/>
        </w:rPr>
        <w:t> </w:t>
      </w:r>
      <w:r>
        <w:rPr>
          <w:vertAlign w:val="baseline"/>
        </w:rPr>
        <w:t>that</w:t>
      </w:r>
      <w:r>
        <w:rPr>
          <w:spacing w:val="-6"/>
          <w:vertAlign w:val="baseline"/>
        </w:rPr>
        <w:t> </w:t>
      </w:r>
      <w:r>
        <w:rPr>
          <w:vertAlign w:val="baseline"/>
        </w:rPr>
        <w:t>encodes</w:t>
      </w:r>
      <w:r>
        <w:rPr>
          <w:spacing w:val="-5"/>
          <w:vertAlign w:val="baseline"/>
        </w:rPr>
        <w:t> </w:t>
      </w:r>
      <w:r>
        <w:rPr>
          <w:vertAlign w:val="baseline"/>
        </w:rPr>
        <w:t>for Twinkle proteins, a mitochondrial helicase, have ataxia as a defining feature.</w:t>
      </w:r>
      <w:hyperlink w:history="true" w:anchor="_bookmark1">
        <w:r>
          <w:rPr>
            <w:vertAlign w:val="superscript"/>
          </w:rPr>
          <w:t>1</w:t>
        </w:r>
      </w:hyperlink>
    </w:p>
    <w:p>
      <w:pPr>
        <w:pStyle w:val="BodyText"/>
        <w:spacing w:line="230" w:lineRule="auto" w:before="9"/>
        <w:ind w:left="7" w:right="6" w:firstLine="376"/>
        <w:jc w:val="both"/>
      </w:pPr>
      <w:r>
        <w:rPr/>
        <w:t>We report on a patient with POLG mutations </w:t>
      </w:r>
      <w:r>
        <w:rPr/>
        <w:t>presenting with ataxia, ophthalmoparesis, and some additional features, who was diagnosed on the basis of MRI findings.</w:t>
      </w:r>
    </w:p>
    <w:p>
      <w:pPr>
        <w:pStyle w:val="BodyText"/>
        <w:spacing w:before="91"/>
      </w:pPr>
    </w:p>
    <w:p>
      <w:pPr>
        <w:pStyle w:val="Heading1"/>
        <w:ind w:right="1"/>
      </w:pPr>
      <w:r>
        <w:rPr>
          <w:w w:val="90"/>
        </w:rPr>
        <w:t>CASE</w:t>
      </w:r>
      <w:r>
        <w:rPr>
          <w:spacing w:val="1"/>
        </w:rPr>
        <w:t> </w:t>
      </w:r>
      <w:r>
        <w:rPr>
          <w:spacing w:val="-2"/>
        </w:rPr>
        <w:t>REPORT</w:t>
      </w:r>
    </w:p>
    <w:p>
      <w:pPr>
        <w:spacing w:line="232" w:lineRule="auto" w:before="12"/>
        <w:ind w:left="7" w:right="3" w:firstLine="376"/>
        <w:jc w:val="both"/>
        <w:rPr>
          <w:sz w:val="16"/>
        </w:rPr>
      </w:pPr>
      <w:r>
        <w:rPr>
          <w:sz w:val="16"/>
        </w:rPr>
        <w:t>A</w:t>
      </w:r>
      <w:r>
        <w:rPr>
          <w:spacing w:val="-8"/>
          <w:sz w:val="16"/>
        </w:rPr>
        <w:t> </w:t>
      </w:r>
      <w:r>
        <w:rPr>
          <w:sz w:val="16"/>
        </w:rPr>
        <w:t>32-year-old</w:t>
      </w:r>
      <w:r>
        <w:rPr>
          <w:spacing w:val="-8"/>
          <w:sz w:val="16"/>
        </w:rPr>
        <w:t> </w:t>
      </w:r>
      <w:r>
        <w:rPr>
          <w:sz w:val="16"/>
        </w:rPr>
        <w:t>woman</w:t>
      </w:r>
      <w:r>
        <w:rPr>
          <w:spacing w:val="-8"/>
          <w:sz w:val="16"/>
        </w:rPr>
        <w:t> </w:t>
      </w:r>
      <w:r>
        <w:rPr>
          <w:sz w:val="16"/>
        </w:rPr>
        <w:t>was</w:t>
      </w:r>
      <w:r>
        <w:rPr>
          <w:spacing w:val="-7"/>
          <w:sz w:val="16"/>
        </w:rPr>
        <w:t> </w:t>
      </w:r>
      <w:r>
        <w:rPr>
          <w:sz w:val="16"/>
        </w:rPr>
        <w:t>referred</w:t>
      </w:r>
      <w:r>
        <w:rPr>
          <w:spacing w:val="-8"/>
          <w:sz w:val="16"/>
        </w:rPr>
        <w:t> </w:t>
      </w:r>
      <w:r>
        <w:rPr>
          <w:sz w:val="16"/>
        </w:rPr>
        <w:t>to</w:t>
      </w:r>
      <w:r>
        <w:rPr>
          <w:spacing w:val="-7"/>
          <w:sz w:val="16"/>
        </w:rPr>
        <w:t> </w:t>
      </w:r>
      <w:r>
        <w:rPr>
          <w:sz w:val="16"/>
        </w:rPr>
        <w:t>our</w:t>
      </w:r>
      <w:r>
        <w:rPr>
          <w:spacing w:val="-6"/>
          <w:sz w:val="16"/>
        </w:rPr>
        <w:t> </w:t>
      </w:r>
      <w:r>
        <w:rPr>
          <w:sz w:val="16"/>
        </w:rPr>
        <w:t>center</w:t>
      </w:r>
      <w:r>
        <w:rPr>
          <w:spacing w:val="-8"/>
          <w:sz w:val="16"/>
        </w:rPr>
        <w:t> </w:t>
      </w:r>
      <w:r>
        <w:rPr>
          <w:sz w:val="16"/>
        </w:rPr>
        <w:t>for</w:t>
      </w:r>
      <w:r>
        <w:rPr>
          <w:spacing w:val="-8"/>
          <w:sz w:val="16"/>
        </w:rPr>
        <w:t> </w:t>
      </w:r>
      <w:r>
        <w:rPr>
          <w:sz w:val="16"/>
        </w:rPr>
        <w:t>evaluation</w:t>
      </w:r>
      <w:r>
        <w:rPr>
          <w:spacing w:val="-8"/>
          <w:sz w:val="16"/>
        </w:rPr>
        <w:t> </w:t>
      </w:r>
      <w:r>
        <w:rPr>
          <w:sz w:val="16"/>
        </w:rPr>
        <w:t>of</w:t>
      </w:r>
      <w:r>
        <w:rPr>
          <w:spacing w:val="40"/>
          <w:sz w:val="16"/>
        </w:rPr>
        <w:t> </w:t>
      </w:r>
      <w:r>
        <w:rPr>
          <w:sz w:val="16"/>
        </w:rPr>
        <w:t>ataxia. Symptoms started at the age of 13 years with difficulties in</w:t>
      </w:r>
      <w:r>
        <w:rPr>
          <w:spacing w:val="40"/>
          <w:sz w:val="16"/>
        </w:rPr>
        <w:t> </w:t>
      </w:r>
      <w:r>
        <w:rPr>
          <w:sz w:val="16"/>
        </w:rPr>
        <w:t>balancing with closed eyes. At the age of 24, during pregnancy, she</w:t>
      </w:r>
      <w:r>
        <w:rPr>
          <w:spacing w:val="40"/>
          <w:sz w:val="16"/>
        </w:rPr>
        <w:t> </w:t>
      </w:r>
      <w:r>
        <w:rPr>
          <w:sz w:val="16"/>
        </w:rPr>
        <w:t>developed</w:t>
      </w:r>
      <w:r>
        <w:rPr>
          <w:spacing w:val="-10"/>
          <w:sz w:val="16"/>
        </w:rPr>
        <w:t> </w:t>
      </w:r>
      <w:r>
        <w:rPr>
          <w:sz w:val="16"/>
        </w:rPr>
        <w:t>broad-based</w:t>
      </w:r>
      <w:r>
        <w:rPr>
          <w:spacing w:val="-10"/>
          <w:sz w:val="16"/>
        </w:rPr>
        <w:t> </w:t>
      </w:r>
      <w:r>
        <w:rPr>
          <w:sz w:val="16"/>
        </w:rPr>
        <w:t>gait</w:t>
      </w:r>
      <w:r>
        <w:rPr>
          <w:spacing w:val="-10"/>
          <w:sz w:val="16"/>
        </w:rPr>
        <w:t> </w:t>
      </w:r>
      <w:r>
        <w:rPr>
          <w:sz w:val="16"/>
        </w:rPr>
        <w:t>and</w:t>
      </w:r>
      <w:r>
        <w:rPr>
          <w:spacing w:val="-10"/>
          <w:sz w:val="16"/>
        </w:rPr>
        <w:t> </w:t>
      </w:r>
      <w:r>
        <w:rPr>
          <w:sz w:val="16"/>
        </w:rPr>
        <w:t>paresthesias</w:t>
      </w:r>
      <w:r>
        <w:rPr>
          <w:spacing w:val="-10"/>
          <w:sz w:val="16"/>
        </w:rPr>
        <w:t> </w:t>
      </w:r>
      <w:r>
        <w:rPr>
          <w:sz w:val="16"/>
        </w:rPr>
        <w:t>in</w:t>
      </w:r>
      <w:r>
        <w:rPr>
          <w:spacing w:val="-10"/>
          <w:sz w:val="16"/>
        </w:rPr>
        <w:t> </w:t>
      </w:r>
      <w:r>
        <w:rPr>
          <w:sz w:val="16"/>
        </w:rPr>
        <w:t>the</w:t>
      </w:r>
      <w:r>
        <w:rPr>
          <w:spacing w:val="-10"/>
          <w:sz w:val="16"/>
        </w:rPr>
        <w:t> </w:t>
      </w:r>
      <w:r>
        <w:rPr>
          <w:sz w:val="16"/>
        </w:rPr>
        <w:t>feet.</w:t>
      </w:r>
      <w:r>
        <w:rPr>
          <w:spacing w:val="-10"/>
          <w:sz w:val="16"/>
        </w:rPr>
        <w:t> </w:t>
      </w:r>
      <w:r>
        <w:rPr>
          <w:sz w:val="16"/>
        </w:rPr>
        <w:t>During</w:t>
      </w:r>
      <w:r>
        <w:rPr>
          <w:spacing w:val="-10"/>
          <w:sz w:val="16"/>
        </w:rPr>
        <w:t> </w:t>
      </w:r>
      <w:r>
        <w:rPr>
          <w:sz w:val="16"/>
        </w:rPr>
        <w:t>the</w:t>
      </w:r>
      <w:r>
        <w:rPr>
          <w:spacing w:val="-10"/>
          <w:sz w:val="16"/>
        </w:rPr>
        <w:t> </w:t>
      </w:r>
      <w:r>
        <w:rPr>
          <w:sz w:val="16"/>
        </w:rPr>
        <w:t>next</w:t>
      </w:r>
      <w:r>
        <w:rPr>
          <w:spacing w:val="40"/>
          <w:sz w:val="16"/>
        </w:rPr>
        <w:t> </w:t>
      </w:r>
      <w:r>
        <w:rPr>
          <w:sz w:val="16"/>
        </w:rPr>
        <w:t>2 years, she started to develop dysarthria and dysphonia. In an out-</w:t>
      </w:r>
      <w:r>
        <w:rPr>
          <w:spacing w:val="40"/>
          <w:sz w:val="16"/>
        </w:rPr>
        <w:t> </w:t>
      </w:r>
      <w:r>
        <w:rPr>
          <w:sz w:val="16"/>
        </w:rPr>
        <w:t>patient clinic, she underwent electroneurography, which showed mild</w:t>
      </w:r>
      <w:r>
        <w:rPr>
          <w:spacing w:val="40"/>
          <w:sz w:val="16"/>
        </w:rPr>
        <w:t> </w:t>
      </w:r>
      <w:r>
        <w:rPr>
          <w:sz w:val="16"/>
        </w:rPr>
        <w:t>slowing</w:t>
      </w:r>
      <w:r>
        <w:rPr>
          <w:spacing w:val="-6"/>
          <w:sz w:val="16"/>
        </w:rPr>
        <w:t> </w:t>
      </w:r>
      <w:r>
        <w:rPr>
          <w:sz w:val="16"/>
        </w:rPr>
        <w:t>of</w:t>
      </w:r>
      <w:r>
        <w:rPr>
          <w:spacing w:val="-6"/>
          <w:sz w:val="16"/>
        </w:rPr>
        <w:t> </w:t>
      </w:r>
      <w:r>
        <w:rPr>
          <w:sz w:val="16"/>
        </w:rPr>
        <w:t>nerve</w:t>
      </w:r>
      <w:r>
        <w:rPr>
          <w:spacing w:val="-5"/>
          <w:sz w:val="16"/>
        </w:rPr>
        <w:t> </w:t>
      </w:r>
      <w:r>
        <w:rPr>
          <w:sz w:val="16"/>
        </w:rPr>
        <w:t>conduction</w:t>
      </w:r>
      <w:r>
        <w:rPr>
          <w:spacing w:val="-6"/>
          <w:sz w:val="16"/>
        </w:rPr>
        <w:t> </w:t>
      </w:r>
      <w:r>
        <w:rPr>
          <w:sz w:val="16"/>
        </w:rPr>
        <w:t>velocities</w:t>
      </w:r>
      <w:r>
        <w:rPr>
          <w:spacing w:val="-6"/>
          <w:sz w:val="16"/>
        </w:rPr>
        <w:t> </w:t>
      </w:r>
      <w:r>
        <w:rPr>
          <w:sz w:val="16"/>
        </w:rPr>
        <w:t>and</w:t>
      </w:r>
      <w:r>
        <w:rPr>
          <w:spacing w:val="-5"/>
          <w:sz w:val="16"/>
        </w:rPr>
        <w:t> </w:t>
      </w:r>
      <w:r>
        <w:rPr>
          <w:sz w:val="16"/>
        </w:rPr>
        <w:t>absent</w:t>
      </w:r>
      <w:r>
        <w:rPr>
          <w:spacing w:val="-6"/>
          <w:sz w:val="16"/>
        </w:rPr>
        <w:t> </w:t>
      </w:r>
      <w:r>
        <w:rPr>
          <w:sz w:val="16"/>
        </w:rPr>
        <w:t>sensory</w:t>
      </w:r>
      <w:r>
        <w:rPr>
          <w:spacing w:val="-6"/>
          <w:sz w:val="16"/>
        </w:rPr>
        <w:t> </w:t>
      </w:r>
      <w:r>
        <w:rPr>
          <w:sz w:val="16"/>
        </w:rPr>
        <w:t>potentials</w:t>
      </w:r>
      <w:r>
        <w:rPr>
          <w:spacing w:val="-6"/>
          <w:sz w:val="16"/>
        </w:rPr>
        <w:t> </w:t>
      </w:r>
      <w:r>
        <w:rPr>
          <w:sz w:val="16"/>
        </w:rPr>
        <w:t>in</w:t>
      </w:r>
      <w:r>
        <w:rPr>
          <w:spacing w:val="40"/>
          <w:sz w:val="16"/>
        </w:rPr>
        <w:t> </w:t>
      </w:r>
      <w:r>
        <w:rPr>
          <w:sz w:val="16"/>
        </w:rPr>
        <w:t>hands and feet. Brain MRI showed increased signal intensity in both</w:t>
      </w:r>
      <w:r>
        <w:rPr>
          <w:spacing w:val="40"/>
          <w:sz w:val="16"/>
        </w:rPr>
        <w:t> </w:t>
      </w:r>
      <w:r>
        <w:rPr>
          <w:sz w:val="16"/>
        </w:rPr>
        <w:t>thalami and cerebellar hemispheres. Extensive genetic workup for</w:t>
      </w:r>
      <w:r>
        <w:rPr>
          <w:spacing w:val="40"/>
          <w:sz w:val="16"/>
        </w:rPr>
        <w:t> </w:t>
      </w:r>
      <w:r>
        <w:rPr>
          <w:sz w:val="16"/>
        </w:rPr>
        <w:t>spinocerebellar</w:t>
      </w:r>
      <w:r>
        <w:rPr>
          <w:spacing w:val="-4"/>
          <w:sz w:val="16"/>
        </w:rPr>
        <w:t> </w:t>
      </w:r>
      <w:r>
        <w:rPr>
          <w:sz w:val="16"/>
        </w:rPr>
        <w:t>ataxias</w:t>
      </w:r>
      <w:r>
        <w:rPr>
          <w:spacing w:val="-4"/>
          <w:sz w:val="16"/>
        </w:rPr>
        <w:t> </w:t>
      </w:r>
      <w:r>
        <w:rPr>
          <w:sz w:val="16"/>
        </w:rPr>
        <w:t>1,</w:t>
      </w:r>
      <w:r>
        <w:rPr>
          <w:spacing w:val="-5"/>
          <w:sz w:val="16"/>
        </w:rPr>
        <w:t> </w:t>
      </w:r>
      <w:r>
        <w:rPr>
          <w:sz w:val="16"/>
        </w:rPr>
        <w:t>2,</w:t>
      </w:r>
      <w:r>
        <w:rPr>
          <w:spacing w:val="-4"/>
          <w:sz w:val="16"/>
        </w:rPr>
        <w:t> </w:t>
      </w:r>
      <w:r>
        <w:rPr>
          <w:sz w:val="16"/>
        </w:rPr>
        <w:t>3,</w:t>
      </w:r>
      <w:r>
        <w:rPr>
          <w:spacing w:val="-5"/>
          <w:sz w:val="16"/>
        </w:rPr>
        <w:t> </w:t>
      </w:r>
      <w:r>
        <w:rPr>
          <w:sz w:val="16"/>
        </w:rPr>
        <w:t>6,</w:t>
      </w:r>
      <w:r>
        <w:rPr>
          <w:spacing w:val="-5"/>
          <w:sz w:val="16"/>
        </w:rPr>
        <w:t> </w:t>
      </w:r>
      <w:r>
        <w:rPr>
          <w:sz w:val="16"/>
        </w:rPr>
        <w:t>7,</w:t>
      </w:r>
      <w:r>
        <w:rPr>
          <w:spacing w:val="-5"/>
          <w:sz w:val="16"/>
        </w:rPr>
        <w:t> </w:t>
      </w:r>
      <w:r>
        <w:rPr>
          <w:sz w:val="16"/>
        </w:rPr>
        <w:t>12,</w:t>
      </w:r>
      <w:r>
        <w:rPr>
          <w:spacing w:val="-5"/>
          <w:sz w:val="16"/>
        </w:rPr>
        <w:t> </w:t>
      </w:r>
      <w:r>
        <w:rPr>
          <w:sz w:val="16"/>
        </w:rPr>
        <w:t>17,</w:t>
      </w:r>
      <w:r>
        <w:rPr>
          <w:spacing w:val="-4"/>
          <w:sz w:val="16"/>
        </w:rPr>
        <w:t> </w:t>
      </w:r>
      <w:r>
        <w:rPr>
          <w:sz w:val="16"/>
        </w:rPr>
        <w:t>DPRLA,</w:t>
      </w:r>
      <w:r>
        <w:rPr>
          <w:spacing w:val="-4"/>
          <w:sz w:val="16"/>
        </w:rPr>
        <w:t> </w:t>
      </w:r>
      <w:r>
        <w:rPr>
          <w:sz w:val="16"/>
        </w:rPr>
        <w:t>and</w:t>
      </w:r>
      <w:r>
        <w:rPr>
          <w:spacing w:val="-6"/>
          <w:sz w:val="16"/>
        </w:rPr>
        <w:t> </w:t>
      </w:r>
      <w:r>
        <w:rPr>
          <w:sz w:val="16"/>
        </w:rPr>
        <w:t>mitochondrial</w:t>
      </w:r>
      <w:r>
        <w:rPr>
          <w:spacing w:val="40"/>
          <w:sz w:val="16"/>
        </w:rPr>
        <w:t> </w:t>
      </w:r>
      <w:r>
        <w:rPr>
          <w:sz w:val="16"/>
        </w:rPr>
        <w:t>transfer</w:t>
      </w:r>
      <w:r>
        <w:rPr>
          <w:spacing w:val="-4"/>
          <w:sz w:val="16"/>
        </w:rPr>
        <w:t> </w:t>
      </w:r>
      <w:r>
        <w:rPr>
          <w:sz w:val="16"/>
        </w:rPr>
        <w:t>RNA</w:t>
      </w:r>
      <w:r>
        <w:rPr>
          <w:spacing w:val="-3"/>
          <w:sz w:val="16"/>
        </w:rPr>
        <w:t> </w:t>
      </w:r>
      <w:r>
        <w:rPr>
          <w:sz w:val="16"/>
        </w:rPr>
        <w:t>leucine</w:t>
      </w:r>
      <w:r>
        <w:rPr>
          <w:spacing w:val="-3"/>
          <w:sz w:val="16"/>
        </w:rPr>
        <w:t> </w:t>
      </w:r>
      <w:r>
        <w:rPr>
          <w:sz w:val="16"/>
        </w:rPr>
        <w:t>was</w:t>
      </w:r>
      <w:r>
        <w:rPr>
          <w:spacing w:val="-4"/>
          <w:sz w:val="16"/>
        </w:rPr>
        <w:t> </w:t>
      </w:r>
      <w:r>
        <w:rPr>
          <w:sz w:val="16"/>
        </w:rPr>
        <w:t>negative.</w:t>
      </w:r>
      <w:r>
        <w:rPr>
          <w:spacing w:val="-3"/>
          <w:sz w:val="16"/>
        </w:rPr>
        <w:t> </w:t>
      </w:r>
      <w:r>
        <w:rPr>
          <w:sz w:val="16"/>
        </w:rPr>
        <w:t>Studies</w:t>
      </w:r>
      <w:r>
        <w:rPr>
          <w:spacing w:val="-3"/>
          <w:sz w:val="16"/>
        </w:rPr>
        <w:t> </w:t>
      </w:r>
      <w:r>
        <w:rPr>
          <w:sz w:val="16"/>
        </w:rPr>
        <w:t>for</w:t>
      </w:r>
      <w:r>
        <w:rPr>
          <w:spacing w:val="-3"/>
          <w:sz w:val="16"/>
        </w:rPr>
        <w:t> </w:t>
      </w:r>
      <w:r>
        <w:rPr>
          <w:sz w:val="16"/>
        </w:rPr>
        <w:t>ceruloplasmin,</w:t>
      </w:r>
      <w:r>
        <w:rPr>
          <w:spacing w:val="-3"/>
          <w:sz w:val="16"/>
        </w:rPr>
        <w:t> </w:t>
      </w:r>
      <w:r>
        <w:rPr>
          <w:sz w:val="16"/>
        </w:rPr>
        <w:t>vitamin</w:t>
      </w:r>
      <w:r>
        <w:rPr>
          <w:spacing w:val="40"/>
          <w:sz w:val="16"/>
        </w:rPr>
        <w:t> </w:t>
      </w:r>
      <w:r>
        <w:rPr>
          <w:sz w:val="16"/>
        </w:rPr>
        <w:t>E,</w:t>
      </w:r>
      <w:r>
        <w:rPr>
          <w:sz w:val="16"/>
        </w:rPr>
        <w:t> a-fetoprotein, ammonium, lactate, pyruvate, carnitine, fatty </w:t>
      </w:r>
      <w:r>
        <w:rPr>
          <w:sz w:val="16"/>
        </w:rPr>
        <w:t>acids,</w:t>
      </w:r>
      <w:r>
        <w:rPr>
          <w:spacing w:val="40"/>
          <w:sz w:val="16"/>
        </w:rPr>
        <w:t> </w:t>
      </w:r>
      <w:r>
        <w:rPr>
          <w:sz w:val="16"/>
        </w:rPr>
        <w:t>organic</w:t>
      </w:r>
      <w:r>
        <w:rPr>
          <w:spacing w:val="-10"/>
          <w:sz w:val="16"/>
        </w:rPr>
        <w:t> </w:t>
      </w:r>
      <w:r>
        <w:rPr>
          <w:sz w:val="16"/>
        </w:rPr>
        <w:t>acids,</w:t>
      </w:r>
      <w:r>
        <w:rPr>
          <w:spacing w:val="-10"/>
          <w:sz w:val="16"/>
        </w:rPr>
        <w:t> </w:t>
      </w:r>
      <w:r>
        <w:rPr>
          <w:sz w:val="16"/>
        </w:rPr>
        <w:t>phytanic</w:t>
      </w:r>
      <w:r>
        <w:rPr>
          <w:spacing w:val="-10"/>
          <w:sz w:val="16"/>
        </w:rPr>
        <w:t> </w:t>
      </w:r>
      <w:r>
        <w:rPr>
          <w:sz w:val="16"/>
        </w:rPr>
        <w:t>acid,</w:t>
      </w:r>
      <w:r>
        <w:rPr>
          <w:spacing w:val="-10"/>
          <w:sz w:val="16"/>
        </w:rPr>
        <w:t> </w:t>
      </w:r>
      <w:r>
        <w:rPr>
          <w:sz w:val="16"/>
        </w:rPr>
        <w:t>very</w:t>
      </w:r>
      <w:r>
        <w:rPr>
          <w:spacing w:val="-10"/>
          <w:sz w:val="16"/>
        </w:rPr>
        <w:t> </w:t>
      </w:r>
      <w:r>
        <w:rPr>
          <w:sz w:val="16"/>
        </w:rPr>
        <w:t>long</w:t>
      </w:r>
      <w:r>
        <w:rPr>
          <w:spacing w:val="-10"/>
          <w:sz w:val="16"/>
        </w:rPr>
        <w:t> </w:t>
      </w:r>
      <w:r>
        <w:rPr>
          <w:sz w:val="16"/>
        </w:rPr>
        <w:t>fatty</w:t>
      </w:r>
      <w:r>
        <w:rPr>
          <w:spacing w:val="-10"/>
          <w:sz w:val="16"/>
        </w:rPr>
        <w:t> </w:t>
      </w:r>
      <w:r>
        <w:rPr>
          <w:sz w:val="16"/>
        </w:rPr>
        <w:t>acids,</w:t>
      </w:r>
      <w:r>
        <w:rPr>
          <w:spacing w:val="-10"/>
          <w:sz w:val="16"/>
        </w:rPr>
        <w:t> </w:t>
      </w:r>
      <w:r>
        <w:rPr>
          <w:sz w:val="16"/>
        </w:rPr>
        <w:t>b-hexosaminidase</w:t>
      </w:r>
      <w:r>
        <w:rPr>
          <w:spacing w:val="-10"/>
          <w:sz w:val="16"/>
        </w:rPr>
        <w:t> </w:t>
      </w:r>
      <w:r>
        <w:rPr>
          <w:sz w:val="16"/>
        </w:rPr>
        <w:t>A,</w:t>
      </w:r>
      <w:r>
        <w:rPr>
          <w:spacing w:val="40"/>
          <w:sz w:val="16"/>
        </w:rPr>
        <w:t> </w:t>
      </w:r>
      <w:r>
        <w:rPr>
          <w:sz w:val="16"/>
        </w:rPr>
        <w:t>galactocerebrosidase, congenital disorders of glycosylation, neuronal</w:t>
      </w:r>
      <w:r>
        <w:rPr>
          <w:spacing w:val="40"/>
          <w:sz w:val="16"/>
        </w:rPr>
        <w:t> </w:t>
      </w:r>
      <w:r>
        <w:rPr>
          <w:sz w:val="16"/>
        </w:rPr>
        <w:t>lipofuscinosis, oligosaccharides, and mucopolysaccharides in urine</w:t>
      </w:r>
      <w:r>
        <w:rPr>
          <w:spacing w:val="40"/>
          <w:sz w:val="16"/>
        </w:rPr>
        <w:t> </w:t>
      </w:r>
      <w:r>
        <w:rPr>
          <w:sz w:val="16"/>
        </w:rPr>
        <w:t>were negative.</w:t>
      </w:r>
    </w:p>
    <w:p>
      <w:pPr>
        <w:spacing w:line="232" w:lineRule="auto" w:before="14"/>
        <w:ind w:left="7" w:right="4" w:firstLine="376"/>
        <w:jc w:val="both"/>
        <w:rPr>
          <w:sz w:val="16"/>
        </w:rPr>
      </w:pPr>
      <w:r>
        <w:rPr>
          <w:sz w:val="16"/>
        </w:rPr>
        <w:t>Neurological examination performed on the patient’s initial pre-</w:t>
      </w:r>
      <w:r>
        <w:rPr>
          <w:spacing w:val="40"/>
          <w:sz w:val="16"/>
        </w:rPr>
        <w:t> </w:t>
      </w:r>
      <w:r>
        <w:rPr>
          <w:sz w:val="16"/>
        </w:rPr>
        <w:t>sentation</w:t>
      </w:r>
      <w:r>
        <w:rPr>
          <w:spacing w:val="-10"/>
          <w:sz w:val="16"/>
        </w:rPr>
        <w:t> </w:t>
      </w:r>
      <w:r>
        <w:rPr>
          <w:sz w:val="16"/>
        </w:rPr>
        <w:t>revealed</w:t>
      </w:r>
      <w:r>
        <w:rPr>
          <w:spacing w:val="-10"/>
          <w:sz w:val="16"/>
        </w:rPr>
        <w:t> </w:t>
      </w:r>
      <w:r>
        <w:rPr>
          <w:sz w:val="16"/>
        </w:rPr>
        <w:t>almost</w:t>
      </w:r>
      <w:r>
        <w:rPr>
          <w:spacing w:val="-10"/>
          <w:sz w:val="16"/>
        </w:rPr>
        <w:t> </w:t>
      </w:r>
      <w:r>
        <w:rPr>
          <w:sz w:val="16"/>
        </w:rPr>
        <w:t>complete</w:t>
      </w:r>
      <w:r>
        <w:rPr>
          <w:spacing w:val="-10"/>
          <w:sz w:val="16"/>
        </w:rPr>
        <w:t> </w:t>
      </w:r>
      <w:r>
        <w:rPr>
          <w:sz w:val="16"/>
        </w:rPr>
        <w:t>horizontal</w:t>
      </w:r>
      <w:r>
        <w:rPr>
          <w:spacing w:val="-10"/>
          <w:sz w:val="16"/>
        </w:rPr>
        <w:t> </w:t>
      </w:r>
      <w:r>
        <w:rPr>
          <w:sz w:val="16"/>
        </w:rPr>
        <w:t>gaze</w:t>
      </w:r>
      <w:r>
        <w:rPr>
          <w:spacing w:val="-10"/>
          <w:sz w:val="16"/>
        </w:rPr>
        <w:t> </w:t>
      </w:r>
      <w:r>
        <w:rPr>
          <w:sz w:val="16"/>
        </w:rPr>
        <w:t>palsy</w:t>
      </w:r>
      <w:r>
        <w:rPr>
          <w:spacing w:val="-10"/>
          <w:sz w:val="16"/>
        </w:rPr>
        <w:t> </w:t>
      </w:r>
      <w:r>
        <w:rPr>
          <w:sz w:val="16"/>
        </w:rPr>
        <w:t>(only</w:t>
      </w:r>
      <w:r>
        <w:rPr>
          <w:spacing w:val="-10"/>
          <w:sz w:val="16"/>
        </w:rPr>
        <w:t> </w:t>
      </w:r>
      <w:r>
        <w:rPr>
          <w:sz w:val="16"/>
        </w:rPr>
        <w:t>minimal</w:t>
      </w:r>
      <w:r>
        <w:rPr>
          <w:spacing w:val="40"/>
          <w:sz w:val="16"/>
        </w:rPr>
        <w:t> </w:t>
      </w:r>
      <w:r>
        <w:rPr>
          <w:sz w:val="16"/>
        </w:rPr>
        <w:t>adduction of the</w:t>
      </w:r>
      <w:r>
        <w:rPr>
          <w:spacing w:val="-1"/>
          <w:sz w:val="16"/>
        </w:rPr>
        <w:t> </w:t>
      </w:r>
      <w:r>
        <w:rPr>
          <w:sz w:val="16"/>
        </w:rPr>
        <w:t>right eye was possible). She</w:t>
      </w:r>
      <w:r>
        <w:rPr>
          <w:spacing w:val="-1"/>
          <w:sz w:val="16"/>
        </w:rPr>
        <w:t> </w:t>
      </w:r>
      <w:r>
        <w:rPr>
          <w:sz w:val="16"/>
        </w:rPr>
        <w:t>had severe</w:t>
      </w:r>
      <w:r>
        <w:rPr>
          <w:spacing w:val="-1"/>
          <w:sz w:val="16"/>
        </w:rPr>
        <w:t> </w:t>
      </w:r>
      <w:r>
        <w:rPr>
          <w:sz w:val="16"/>
        </w:rPr>
        <w:t>ataxia</w:t>
      </w:r>
      <w:r>
        <w:rPr>
          <w:spacing w:val="-1"/>
          <w:sz w:val="16"/>
        </w:rPr>
        <w:t> </w:t>
      </w:r>
      <w:r>
        <w:rPr>
          <w:sz w:val="16"/>
        </w:rPr>
        <w:t>of all 4</w:t>
      </w:r>
      <w:r>
        <w:rPr>
          <w:spacing w:val="40"/>
          <w:sz w:val="16"/>
        </w:rPr>
        <w:t> </w:t>
      </w:r>
      <w:r>
        <w:rPr>
          <w:sz w:val="16"/>
        </w:rPr>
        <w:t>limbs and gait, reflexes were absent, and choreoathetotic movements</w:t>
      </w:r>
      <w:r>
        <w:rPr>
          <w:spacing w:val="40"/>
          <w:sz w:val="16"/>
        </w:rPr>
        <w:t> </w:t>
      </w:r>
      <w:r>
        <w:rPr>
          <w:sz w:val="16"/>
        </w:rPr>
        <w:t>of</w:t>
      </w:r>
      <w:r>
        <w:rPr>
          <w:spacing w:val="-7"/>
          <w:sz w:val="16"/>
        </w:rPr>
        <w:t> </w:t>
      </w:r>
      <w:r>
        <w:rPr>
          <w:sz w:val="16"/>
        </w:rPr>
        <w:t>the</w:t>
      </w:r>
      <w:r>
        <w:rPr>
          <w:spacing w:val="-7"/>
          <w:sz w:val="16"/>
        </w:rPr>
        <w:t> </w:t>
      </w:r>
      <w:r>
        <w:rPr>
          <w:sz w:val="16"/>
        </w:rPr>
        <w:t>hands</w:t>
      </w:r>
      <w:r>
        <w:rPr>
          <w:spacing w:val="-6"/>
          <w:sz w:val="16"/>
        </w:rPr>
        <w:t> </w:t>
      </w:r>
      <w:r>
        <w:rPr>
          <w:sz w:val="16"/>
        </w:rPr>
        <w:t>were</w:t>
      </w:r>
      <w:r>
        <w:rPr>
          <w:spacing w:val="-6"/>
          <w:sz w:val="16"/>
        </w:rPr>
        <w:t> </w:t>
      </w:r>
      <w:r>
        <w:rPr>
          <w:sz w:val="16"/>
        </w:rPr>
        <w:t>noted.</w:t>
      </w:r>
      <w:r>
        <w:rPr>
          <w:spacing w:val="-7"/>
          <w:sz w:val="16"/>
        </w:rPr>
        <w:t> </w:t>
      </w:r>
      <w:r>
        <w:rPr>
          <w:sz w:val="16"/>
        </w:rPr>
        <w:t>Complete</w:t>
      </w:r>
      <w:r>
        <w:rPr>
          <w:spacing w:val="-5"/>
          <w:sz w:val="16"/>
        </w:rPr>
        <w:t> </w:t>
      </w:r>
      <w:r>
        <w:rPr>
          <w:sz w:val="16"/>
        </w:rPr>
        <w:t>absence</w:t>
      </w:r>
      <w:r>
        <w:rPr>
          <w:spacing w:val="-6"/>
          <w:sz w:val="16"/>
        </w:rPr>
        <w:t> </w:t>
      </w:r>
      <w:r>
        <w:rPr>
          <w:sz w:val="16"/>
        </w:rPr>
        <w:t>of</w:t>
      </w:r>
      <w:r>
        <w:rPr>
          <w:spacing w:val="-7"/>
          <w:sz w:val="16"/>
        </w:rPr>
        <w:t> </w:t>
      </w:r>
      <w:r>
        <w:rPr>
          <w:sz w:val="16"/>
        </w:rPr>
        <w:t>proprioceptive</w:t>
      </w:r>
      <w:r>
        <w:rPr>
          <w:spacing w:val="-7"/>
          <w:sz w:val="16"/>
        </w:rPr>
        <w:t> </w:t>
      </w:r>
      <w:r>
        <w:rPr>
          <w:sz w:val="16"/>
        </w:rPr>
        <w:t>sensation</w:t>
      </w:r>
      <w:r>
        <w:rPr>
          <w:spacing w:val="40"/>
          <w:sz w:val="16"/>
        </w:rPr>
        <w:t> </w:t>
      </w:r>
      <w:r>
        <w:rPr>
          <w:sz w:val="16"/>
        </w:rPr>
        <w:t>of the legs was present. Cognitive examination was normal.</w:t>
      </w:r>
    </w:p>
    <w:p>
      <w:pPr>
        <w:spacing w:after="0" w:line="232" w:lineRule="auto"/>
        <w:jc w:val="both"/>
        <w:rPr>
          <w:sz w:val="16"/>
        </w:rPr>
        <w:sectPr>
          <w:type w:val="continuous"/>
          <w:pgSz w:w="11160" w:h="15480"/>
          <w:pgMar w:top="620" w:bottom="280" w:left="850" w:right="850"/>
          <w:cols w:num="2" w:equalWidth="0">
            <w:col w:w="4553" w:space="349"/>
            <w:col w:w="4558"/>
          </w:cols>
        </w:sectPr>
      </w:pPr>
    </w:p>
    <w:p>
      <w:pPr>
        <w:pStyle w:val="BodyText"/>
        <w:spacing w:before="35"/>
      </w:pPr>
    </w:p>
    <w:p>
      <w:pPr>
        <w:tabs>
          <w:tab w:pos="6989" w:val="left" w:leader="none"/>
        </w:tabs>
        <w:spacing w:before="0"/>
        <w:ind w:left="7" w:right="0" w:firstLine="0"/>
        <w:jc w:val="left"/>
        <w:rPr>
          <w:sz w:val="24"/>
        </w:rPr>
      </w:pPr>
      <w:r>
        <w:rPr>
          <w:rFonts w:ascii="Arial" w:hAnsi="Arial"/>
          <w:i/>
          <w:sz w:val="18"/>
        </w:rPr>
        <w:t>The</w:t>
      </w:r>
      <w:r>
        <w:rPr>
          <w:rFonts w:ascii="Arial" w:hAnsi="Arial"/>
          <w:i/>
          <w:spacing w:val="-2"/>
          <w:sz w:val="18"/>
        </w:rPr>
        <w:t> </w:t>
      </w:r>
      <w:r>
        <w:rPr>
          <w:rFonts w:ascii="Arial" w:hAnsi="Arial"/>
          <w:i/>
          <w:sz w:val="18"/>
        </w:rPr>
        <w:t>Neurologist</w:t>
      </w:r>
      <w:r>
        <w:rPr>
          <w:rFonts w:ascii="Arial" w:hAnsi="Arial"/>
          <w:i/>
          <w:spacing w:val="-1"/>
          <w:sz w:val="18"/>
        </w:rPr>
        <w:t> </w:t>
      </w:r>
      <w:r>
        <w:rPr>
          <w:position w:val="3"/>
          <w:sz w:val="14"/>
        </w:rPr>
        <w:t>●</w:t>
      </w:r>
      <w:r>
        <w:rPr>
          <w:spacing w:val="13"/>
          <w:position w:val="3"/>
          <w:sz w:val="14"/>
        </w:rPr>
        <w:t> </w:t>
      </w:r>
      <w:r>
        <w:rPr>
          <w:rFonts w:ascii="Arial" w:hAnsi="Arial"/>
          <w:sz w:val="18"/>
        </w:rPr>
        <w:t>Volume</w:t>
      </w:r>
      <w:r>
        <w:rPr>
          <w:rFonts w:ascii="Arial" w:hAnsi="Arial"/>
          <w:spacing w:val="-1"/>
          <w:sz w:val="18"/>
        </w:rPr>
        <w:t> </w:t>
      </w:r>
      <w:r>
        <w:rPr>
          <w:rFonts w:ascii="Arial" w:hAnsi="Arial"/>
          <w:sz w:val="18"/>
        </w:rPr>
        <w:t>18,</w:t>
      </w:r>
      <w:r>
        <w:rPr>
          <w:rFonts w:ascii="Arial" w:hAnsi="Arial"/>
          <w:spacing w:val="-1"/>
          <w:sz w:val="18"/>
        </w:rPr>
        <w:t> </w:t>
      </w:r>
      <w:r>
        <w:rPr>
          <w:rFonts w:ascii="Arial" w:hAnsi="Arial"/>
          <w:sz w:val="18"/>
        </w:rPr>
        <w:t>Number</w:t>
      </w:r>
      <w:r>
        <w:rPr>
          <w:rFonts w:ascii="Arial" w:hAnsi="Arial"/>
          <w:spacing w:val="-2"/>
          <w:sz w:val="18"/>
        </w:rPr>
        <w:t> </w:t>
      </w:r>
      <w:r>
        <w:rPr>
          <w:rFonts w:ascii="Arial" w:hAnsi="Arial"/>
          <w:sz w:val="18"/>
        </w:rPr>
        <w:t>5,</w:t>
      </w:r>
      <w:r>
        <w:rPr>
          <w:rFonts w:ascii="Arial" w:hAnsi="Arial"/>
          <w:spacing w:val="-1"/>
          <w:sz w:val="18"/>
        </w:rPr>
        <w:t> </w:t>
      </w:r>
      <w:r>
        <w:rPr>
          <w:rFonts w:ascii="Arial" w:hAnsi="Arial"/>
          <w:sz w:val="18"/>
        </w:rPr>
        <w:t>September</w:t>
      </w:r>
      <w:r>
        <w:rPr>
          <w:rFonts w:ascii="Arial" w:hAnsi="Arial"/>
          <w:spacing w:val="-1"/>
          <w:sz w:val="18"/>
        </w:rPr>
        <w:t> </w:t>
      </w:r>
      <w:r>
        <w:rPr>
          <w:rFonts w:ascii="Arial" w:hAnsi="Arial"/>
          <w:spacing w:val="-4"/>
          <w:sz w:val="18"/>
        </w:rPr>
        <w:t>2012</w:t>
      </w:r>
      <w:r>
        <w:rPr>
          <w:rFonts w:ascii="Arial" w:hAnsi="Arial"/>
          <w:sz w:val="18"/>
        </w:rPr>
        <w:tab/>
      </w:r>
      <w:hyperlink r:id="rId6">
        <w:r>
          <w:rPr>
            <w:rFonts w:ascii="Arial" w:hAnsi="Arial"/>
            <w:sz w:val="18"/>
          </w:rPr>
          <w:t>www.theneurologist.org</w:t>
        </w:r>
      </w:hyperlink>
      <w:r>
        <w:rPr>
          <w:rFonts w:ascii="Arial" w:hAnsi="Arial"/>
          <w:spacing w:val="40"/>
          <w:sz w:val="18"/>
        </w:rPr>
        <w:t> </w:t>
      </w:r>
      <w:r>
        <w:rPr>
          <w:rFonts w:ascii="Arial" w:hAnsi="Arial"/>
          <w:position w:val="3"/>
          <w:sz w:val="16"/>
        </w:rPr>
        <w:t>|</w:t>
      </w:r>
      <w:r>
        <w:rPr>
          <w:rFonts w:ascii="Arial" w:hAnsi="Arial"/>
          <w:spacing w:val="43"/>
          <w:position w:val="3"/>
          <w:sz w:val="16"/>
        </w:rPr>
        <w:t> </w:t>
      </w:r>
      <w:r>
        <w:rPr>
          <w:spacing w:val="-5"/>
          <w:sz w:val="24"/>
        </w:rPr>
        <w:t>287</w:t>
      </w:r>
    </w:p>
    <w:p>
      <w:pPr>
        <w:spacing w:after="0"/>
        <w:jc w:val="left"/>
        <w:rPr>
          <w:sz w:val="24"/>
        </w:rPr>
        <w:sectPr>
          <w:type w:val="continuous"/>
          <w:pgSz w:w="11160" w:h="15480"/>
          <w:pgMar w:top="620" w:bottom="280" w:left="850" w:right="850"/>
        </w:sectPr>
      </w:pPr>
    </w:p>
    <w:p>
      <w:pPr>
        <w:tabs>
          <w:tab w:pos="5272" w:val="left" w:leader="none"/>
        </w:tabs>
        <w:spacing w:before="50"/>
        <w:ind w:left="7" w:right="0" w:firstLine="0"/>
        <w:jc w:val="left"/>
        <w:rPr>
          <w:rFonts w:ascii="Arial" w:hAnsi="Arial"/>
          <w:sz w:val="16"/>
        </w:rPr>
      </w:pPr>
      <w:r>
        <w:rPr>
          <w:rFonts w:ascii="Arial" w:hAnsi="Arial"/>
          <w:sz w:val="16"/>
        </w:rPr>
        <mc:AlternateContent>
          <mc:Choice Requires="wps">
            <w:drawing>
              <wp:anchor distT="0" distB="0" distL="0" distR="0" allowOverlap="1" layoutInCell="1" locked="0" behindDoc="0" simplePos="0" relativeHeight="15731200">
                <wp:simplePos x="0" y="0"/>
                <wp:positionH relativeFrom="page">
                  <wp:posOffset>544322</wp:posOffset>
                </wp:positionH>
                <wp:positionV relativeFrom="paragraph">
                  <wp:posOffset>170605</wp:posOffset>
                </wp:positionV>
                <wp:extent cx="5998210" cy="13335"/>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5998210" cy="13335"/>
                        </a:xfrm>
                        <a:custGeom>
                          <a:avLst/>
                          <a:gdLst/>
                          <a:ahLst/>
                          <a:cxnLst/>
                          <a:rect l="l" t="t" r="r" b="b"/>
                          <a:pathLst>
                            <a:path w="5998210" h="13335">
                              <a:moveTo>
                                <a:pt x="5997600" y="0"/>
                              </a:moveTo>
                              <a:lnTo>
                                <a:pt x="0" y="0"/>
                              </a:lnTo>
                              <a:lnTo>
                                <a:pt x="0" y="12960"/>
                              </a:lnTo>
                              <a:lnTo>
                                <a:pt x="5997600" y="12960"/>
                              </a:lnTo>
                              <a:lnTo>
                                <a:pt x="59976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860001pt;margin-top:13.4335pt;width:472.252pt;height:1.0205pt;mso-position-horizontal-relative:page;mso-position-vertical-relative:paragraph;z-index:15731200" id="docshape6" filled="true" fillcolor="#000000" stroked="false">
                <v:fill type="solid"/>
                <w10:wrap type="none"/>
              </v:rect>
            </w:pict>
          </mc:Fallback>
        </mc:AlternateContent>
      </w:r>
      <w:r>
        <w:rPr>
          <w:i/>
          <w:sz w:val="16"/>
        </w:rPr>
        <w:t>Habek</w:t>
      </w:r>
      <w:r>
        <w:rPr>
          <w:i/>
          <w:spacing w:val="10"/>
          <w:sz w:val="16"/>
        </w:rPr>
        <w:t> </w:t>
      </w:r>
      <w:r>
        <w:rPr>
          <w:i/>
          <w:sz w:val="16"/>
        </w:rPr>
        <w:t>et</w:t>
      </w:r>
      <w:r>
        <w:rPr>
          <w:i/>
          <w:spacing w:val="10"/>
          <w:sz w:val="16"/>
        </w:rPr>
        <w:t> </w:t>
      </w:r>
      <w:r>
        <w:rPr>
          <w:i/>
          <w:spacing w:val="-5"/>
          <w:sz w:val="16"/>
        </w:rPr>
        <w:t>al</w:t>
      </w:r>
      <w:r>
        <w:rPr>
          <w:i/>
          <w:sz w:val="16"/>
        </w:rPr>
        <w:tab/>
      </w:r>
      <w:r>
        <w:rPr>
          <w:rFonts w:ascii="Arial" w:hAnsi="Arial"/>
          <w:i/>
          <w:sz w:val="16"/>
        </w:rPr>
        <w:t>The</w:t>
      </w:r>
      <w:r>
        <w:rPr>
          <w:rFonts w:ascii="Arial" w:hAnsi="Arial"/>
          <w:i/>
          <w:spacing w:val="-1"/>
          <w:sz w:val="16"/>
        </w:rPr>
        <w:t> </w:t>
      </w:r>
      <w:r>
        <w:rPr>
          <w:rFonts w:ascii="Arial" w:hAnsi="Arial"/>
          <w:i/>
          <w:sz w:val="16"/>
        </w:rPr>
        <w:t>Neurologist</w:t>
      </w:r>
      <w:r>
        <w:rPr>
          <w:rFonts w:ascii="Arial" w:hAnsi="Arial"/>
          <w:i/>
          <w:spacing w:val="21"/>
          <w:sz w:val="16"/>
        </w:rPr>
        <w:t> </w:t>
      </w:r>
      <w:r>
        <w:rPr>
          <w:position w:val="3"/>
          <w:sz w:val="12"/>
        </w:rPr>
        <w:t>●</w:t>
      </w:r>
      <w:r>
        <w:rPr>
          <w:spacing w:val="36"/>
          <w:position w:val="3"/>
          <w:sz w:val="12"/>
        </w:rPr>
        <w:t> </w:t>
      </w:r>
      <w:r>
        <w:rPr>
          <w:rFonts w:ascii="Arial" w:hAnsi="Arial"/>
          <w:sz w:val="16"/>
        </w:rPr>
        <w:t>Volume</w:t>
      </w:r>
      <w:r>
        <w:rPr>
          <w:rFonts w:ascii="Arial" w:hAnsi="Arial"/>
          <w:spacing w:val="-2"/>
          <w:sz w:val="16"/>
        </w:rPr>
        <w:t> </w:t>
      </w:r>
      <w:r>
        <w:rPr>
          <w:rFonts w:ascii="Arial" w:hAnsi="Arial"/>
          <w:sz w:val="16"/>
        </w:rPr>
        <w:t>18, Number 5,</w:t>
      </w:r>
      <w:r>
        <w:rPr>
          <w:rFonts w:ascii="Arial" w:hAnsi="Arial"/>
          <w:spacing w:val="-1"/>
          <w:sz w:val="16"/>
        </w:rPr>
        <w:t> </w:t>
      </w:r>
      <w:r>
        <w:rPr>
          <w:rFonts w:ascii="Arial" w:hAnsi="Arial"/>
          <w:sz w:val="16"/>
        </w:rPr>
        <w:t>September</w:t>
      </w:r>
      <w:r>
        <w:rPr>
          <w:rFonts w:ascii="Arial" w:hAnsi="Arial"/>
          <w:spacing w:val="-1"/>
          <w:sz w:val="16"/>
        </w:rPr>
        <w:t> </w:t>
      </w:r>
      <w:r>
        <w:rPr>
          <w:rFonts w:ascii="Arial" w:hAnsi="Arial"/>
          <w:spacing w:val="-4"/>
          <w:sz w:val="16"/>
        </w:rPr>
        <w:t>2012</w:t>
      </w:r>
    </w:p>
    <w:p>
      <w:pPr>
        <w:pStyle w:val="BodyText"/>
        <w:rPr>
          <w:rFonts w:ascii="Arial"/>
          <w:sz w:val="20"/>
        </w:rPr>
      </w:pPr>
    </w:p>
    <w:p>
      <w:pPr>
        <w:pStyle w:val="BodyText"/>
        <w:spacing w:before="5"/>
        <w:rPr>
          <w:rFonts w:ascii="Arial"/>
          <w:sz w:val="20"/>
        </w:rPr>
      </w:pPr>
      <w:r>
        <w:rPr>
          <w:rFonts w:ascii="Arial"/>
          <w:sz w:val="20"/>
        </w:rPr>
        <w:drawing>
          <wp:anchor distT="0" distB="0" distL="0" distR="0" allowOverlap="1" layoutInCell="1" locked="0" behindDoc="1" simplePos="0" relativeHeight="487589888">
            <wp:simplePos x="0" y="0"/>
            <wp:positionH relativeFrom="page">
              <wp:posOffset>610120</wp:posOffset>
            </wp:positionH>
            <wp:positionV relativeFrom="paragraph">
              <wp:posOffset>164980</wp:posOffset>
            </wp:positionV>
            <wp:extent cx="5881057" cy="1450848"/>
            <wp:effectExtent l="0" t="0" r="0" b="0"/>
            <wp:wrapTopAndBottom/>
            <wp:docPr id="7" name="Image 7"/>
            <wp:cNvGraphicFramePr>
              <a:graphicFrameLocks/>
            </wp:cNvGraphicFramePr>
            <a:graphic>
              <a:graphicData uri="http://schemas.openxmlformats.org/drawingml/2006/picture">
                <pic:pic>
                  <pic:nvPicPr>
                    <pic:cNvPr id="7" name="Image 7"/>
                    <pic:cNvPicPr/>
                  </pic:nvPicPr>
                  <pic:blipFill>
                    <a:blip r:embed="rId7" cstate="print"/>
                    <a:stretch>
                      <a:fillRect/>
                    </a:stretch>
                  </pic:blipFill>
                  <pic:spPr>
                    <a:xfrm>
                      <a:off x="0" y="0"/>
                      <a:ext cx="5881057" cy="1450848"/>
                    </a:xfrm>
                    <a:prstGeom prst="rect">
                      <a:avLst/>
                    </a:prstGeom>
                  </pic:spPr>
                </pic:pic>
              </a:graphicData>
            </a:graphic>
          </wp:anchor>
        </w:drawing>
      </w:r>
    </w:p>
    <w:p>
      <w:pPr>
        <w:spacing w:line="232" w:lineRule="auto" w:before="127"/>
        <w:ind w:left="7" w:right="0" w:firstLine="0"/>
        <w:jc w:val="left"/>
        <w:rPr>
          <w:rFonts w:ascii="Arial" w:hAnsi="Arial"/>
          <w:sz w:val="16"/>
        </w:rPr>
      </w:pPr>
      <w:bookmarkStart w:name="_bookmark0" w:id="1"/>
      <w:bookmarkEnd w:id="1"/>
      <w:r>
        <w:rPr/>
      </w:r>
      <w:r>
        <w:rPr>
          <w:rFonts w:ascii="Arial" w:hAnsi="Arial"/>
          <w:spacing w:val="-2"/>
          <w:sz w:val="16"/>
        </w:rPr>
        <w:t>FIGURE</w:t>
      </w:r>
      <w:r>
        <w:rPr>
          <w:rFonts w:ascii="Arial" w:hAnsi="Arial"/>
          <w:spacing w:val="-5"/>
          <w:sz w:val="16"/>
        </w:rPr>
        <w:t> </w:t>
      </w:r>
      <w:r>
        <w:rPr>
          <w:rFonts w:ascii="Arial" w:hAnsi="Arial"/>
          <w:spacing w:val="-2"/>
          <w:sz w:val="16"/>
        </w:rPr>
        <w:t>1.</w:t>
      </w:r>
      <w:r>
        <w:rPr>
          <w:rFonts w:ascii="Arial" w:hAnsi="Arial"/>
          <w:spacing w:val="36"/>
          <w:sz w:val="16"/>
        </w:rPr>
        <w:t> </w:t>
      </w:r>
      <w:r>
        <w:rPr>
          <w:rFonts w:ascii="Arial" w:hAnsi="Arial"/>
          <w:spacing w:val="-2"/>
          <w:sz w:val="16"/>
        </w:rPr>
        <w:t>Magnetic</w:t>
      </w:r>
      <w:r>
        <w:rPr>
          <w:rFonts w:ascii="Arial" w:hAnsi="Arial"/>
          <w:spacing w:val="-5"/>
          <w:sz w:val="16"/>
        </w:rPr>
        <w:t> </w:t>
      </w:r>
      <w:r>
        <w:rPr>
          <w:rFonts w:ascii="Arial" w:hAnsi="Arial"/>
          <w:spacing w:val="-2"/>
          <w:sz w:val="16"/>
        </w:rPr>
        <w:t>resonance</w:t>
      </w:r>
      <w:r>
        <w:rPr>
          <w:rFonts w:ascii="Arial" w:hAnsi="Arial"/>
          <w:spacing w:val="-5"/>
          <w:sz w:val="16"/>
        </w:rPr>
        <w:t> </w:t>
      </w:r>
      <w:r>
        <w:rPr>
          <w:rFonts w:ascii="Arial" w:hAnsi="Arial"/>
          <w:spacing w:val="-2"/>
          <w:sz w:val="16"/>
        </w:rPr>
        <w:t>imaging</w:t>
      </w:r>
      <w:r>
        <w:rPr>
          <w:rFonts w:ascii="Arial" w:hAnsi="Arial"/>
          <w:spacing w:val="-4"/>
          <w:sz w:val="16"/>
        </w:rPr>
        <w:t> </w:t>
      </w:r>
      <w:r>
        <w:rPr>
          <w:rFonts w:ascii="Arial" w:hAnsi="Arial"/>
          <w:spacing w:val="-2"/>
          <w:sz w:val="16"/>
        </w:rPr>
        <w:t>of</w:t>
      </w:r>
      <w:r>
        <w:rPr>
          <w:rFonts w:ascii="Arial" w:hAnsi="Arial"/>
          <w:spacing w:val="-5"/>
          <w:sz w:val="16"/>
        </w:rPr>
        <w:t> </w:t>
      </w:r>
      <w:r>
        <w:rPr>
          <w:rFonts w:ascii="Arial" w:hAnsi="Arial"/>
          <w:spacing w:val="-2"/>
          <w:sz w:val="16"/>
        </w:rPr>
        <w:t>the</w:t>
      </w:r>
      <w:r>
        <w:rPr>
          <w:rFonts w:ascii="Arial" w:hAnsi="Arial"/>
          <w:spacing w:val="-4"/>
          <w:sz w:val="16"/>
        </w:rPr>
        <w:t> </w:t>
      </w:r>
      <w:r>
        <w:rPr>
          <w:rFonts w:ascii="Arial" w:hAnsi="Arial"/>
          <w:spacing w:val="-2"/>
          <w:sz w:val="16"/>
        </w:rPr>
        <w:t>brain</w:t>
      </w:r>
      <w:r>
        <w:rPr>
          <w:rFonts w:ascii="Arial" w:hAnsi="Arial"/>
          <w:spacing w:val="-4"/>
          <w:sz w:val="16"/>
        </w:rPr>
        <w:t> </w:t>
      </w:r>
      <w:r>
        <w:rPr>
          <w:rFonts w:ascii="Arial" w:hAnsi="Arial"/>
          <w:spacing w:val="-2"/>
          <w:sz w:val="16"/>
        </w:rPr>
        <w:t>showing</w:t>
      </w:r>
      <w:r>
        <w:rPr>
          <w:rFonts w:ascii="Arial" w:hAnsi="Arial"/>
          <w:spacing w:val="-6"/>
          <w:sz w:val="16"/>
        </w:rPr>
        <w:t> </w:t>
      </w:r>
      <w:r>
        <w:rPr>
          <w:rFonts w:ascii="Arial" w:hAnsi="Arial"/>
          <w:spacing w:val="-2"/>
          <w:sz w:val="16"/>
        </w:rPr>
        <w:t>T2</w:t>
      </w:r>
      <w:r>
        <w:rPr>
          <w:rFonts w:ascii="Arial" w:hAnsi="Arial"/>
          <w:spacing w:val="-3"/>
          <w:sz w:val="16"/>
        </w:rPr>
        <w:t> </w:t>
      </w:r>
      <w:r>
        <w:rPr>
          <w:rFonts w:ascii="Arial" w:hAnsi="Arial"/>
          <w:spacing w:val="-2"/>
          <w:sz w:val="16"/>
        </w:rPr>
        <w:t>and</w:t>
      </w:r>
      <w:r>
        <w:rPr>
          <w:rFonts w:ascii="Arial" w:hAnsi="Arial"/>
          <w:spacing w:val="-5"/>
          <w:sz w:val="16"/>
        </w:rPr>
        <w:t> </w:t>
      </w:r>
      <w:r>
        <w:rPr>
          <w:rFonts w:ascii="Arial" w:hAnsi="Arial"/>
          <w:spacing w:val="-2"/>
          <w:sz w:val="16"/>
        </w:rPr>
        <w:t>FLAIR</w:t>
      </w:r>
      <w:r>
        <w:rPr>
          <w:rFonts w:ascii="Arial" w:hAnsi="Arial"/>
          <w:spacing w:val="-4"/>
          <w:sz w:val="16"/>
        </w:rPr>
        <w:t> </w:t>
      </w:r>
      <w:r>
        <w:rPr>
          <w:rFonts w:ascii="Arial" w:hAnsi="Arial"/>
          <w:spacing w:val="-2"/>
          <w:sz w:val="16"/>
        </w:rPr>
        <w:t>hyperintensities</w:t>
      </w:r>
      <w:r>
        <w:rPr>
          <w:rFonts w:ascii="Arial" w:hAnsi="Arial"/>
          <w:spacing w:val="-4"/>
          <w:sz w:val="16"/>
        </w:rPr>
        <w:t> </w:t>
      </w:r>
      <w:r>
        <w:rPr>
          <w:rFonts w:ascii="Arial" w:hAnsi="Arial"/>
          <w:spacing w:val="-2"/>
          <w:sz w:val="16"/>
        </w:rPr>
        <w:t>in</w:t>
      </w:r>
      <w:r>
        <w:rPr>
          <w:rFonts w:ascii="Arial" w:hAnsi="Arial"/>
          <w:spacing w:val="-4"/>
          <w:sz w:val="16"/>
        </w:rPr>
        <w:t> </w:t>
      </w:r>
      <w:r>
        <w:rPr>
          <w:rFonts w:ascii="Arial" w:hAnsi="Arial"/>
          <w:spacing w:val="-2"/>
          <w:sz w:val="16"/>
        </w:rPr>
        <w:t>the</w:t>
      </w:r>
      <w:r>
        <w:rPr>
          <w:rFonts w:ascii="Arial" w:hAnsi="Arial"/>
          <w:spacing w:val="-4"/>
          <w:sz w:val="16"/>
        </w:rPr>
        <w:t> </w:t>
      </w:r>
      <w:r>
        <w:rPr>
          <w:rFonts w:ascii="Arial" w:hAnsi="Arial"/>
          <w:spacing w:val="-2"/>
          <w:sz w:val="16"/>
        </w:rPr>
        <w:t>thalamus</w:t>
      </w:r>
      <w:r>
        <w:rPr>
          <w:rFonts w:ascii="Arial" w:hAnsi="Arial"/>
          <w:spacing w:val="-5"/>
          <w:sz w:val="16"/>
        </w:rPr>
        <w:t> </w:t>
      </w:r>
      <w:r>
        <w:rPr>
          <w:rFonts w:ascii="Arial" w:hAnsi="Arial"/>
          <w:spacing w:val="-2"/>
          <w:sz w:val="16"/>
        </w:rPr>
        <w:t>(C,</w:t>
      </w:r>
      <w:r>
        <w:rPr>
          <w:rFonts w:ascii="Arial" w:hAnsi="Arial"/>
          <w:spacing w:val="-5"/>
          <w:sz w:val="16"/>
        </w:rPr>
        <w:t> </w:t>
      </w:r>
      <w:r>
        <w:rPr>
          <w:rFonts w:ascii="Arial" w:hAnsi="Arial"/>
          <w:spacing w:val="-2"/>
          <w:sz w:val="16"/>
        </w:rPr>
        <w:t>E),</w:t>
      </w:r>
      <w:r>
        <w:rPr>
          <w:rFonts w:ascii="Arial" w:hAnsi="Arial"/>
          <w:spacing w:val="-4"/>
          <w:sz w:val="16"/>
        </w:rPr>
        <w:t> </w:t>
      </w:r>
      <w:r>
        <w:rPr>
          <w:rFonts w:ascii="Arial" w:hAnsi="Arial"/>
          <w:spacing w:val="-2"/>
          <w:sz w:val="16"/>
        </w:rPr>
        <w:t>inferior</w:t>
      </w:r>
      <w:r>
        <w:rPr>
          <w:rFonts w:ascii="Arial" w:hAnsi="Arial"/>
          <w:spacing w:val="-4"/>
          <w:sz w:val="16"/>
        </w:rPr>
        <w:t> </w:t>
      </w:r>
      <w:r>
        <w:rPr>
          <w:rFonts w:ascii="Arial" w:hAnsi="Arial"/>
          <w:spacing w:val="-2"/>
          <w:sz w:val="16"/>
        </w:rPr>
        <w:t>olives</w:t>
      </w:r>
      <w:r>
        <w:rPr>
          <w:rFonts w:ascii="Arial" w:hAnsi="Arial"/>
          <w:spacing w:val="-4"/>
          <w:sz w:val="16"/>
        </w:rPr>
        <w:t> </w:t>
      </w:r>
      <w:r>
        <w:rPr>
          <w:rFonts w:ascii="Arial" w:hAnsi="Arial"/>
          <w:spacing w:val="-2"/>
          <w:sz w:val="16"/>
        </w:rPr>
        <w:t>(A–C), </w:t>
      </w:r>
      <w:r>
        <w:rPr>
          <w:rFonts w:ascii="Arial" w:hAnsi="Arial"/>
          <w:sz w:val="16"/>
        </w:rPr>
        <w:t>and cerebellum (D).</w:t>
      </w:r>
    </w:p>
    <w:p>
      <w:pPr>
        <w:pStyle w:val="BodyText"/>
        <w:spacing w:before="137"/>
        <w:rPr>
          <w:rFonts w:ascii="Arial"/>
          <w:sz w:val="20"/>
        </w:rPr>
      </w:pPr>
    </w:p>
    <w:p>
      <w:pPr>
        <w:pStyle w:val="BodyText"/>
        <w:spacing w:after="0"/>
        <w:rPr>
          <w:rFonts w:ascii="Arial"/>
          <w:sz w:val="20"/>
        </w:rPr>
        <w:sectPr>
          <w:pgSz w:w="11160" w:h="15480"/>
          <w:pgMar w:top="780" w:bottom="280" w:left="850" w:right="850"/>
        </w:sectPr>
      </w:pPr>
    </w:p>
    <w:p>
      <w:pPr>
        <w:spacing w:line="232" w:lineRule="auto" w:before="95"/>
        <w:ind w:left="7" w:right="0" w:firstLine="376"/>
        <w:jc w:val="both"/>
        <w:rPr>
          <w:sz w:val="16"/>
        </w:rPr>
      </w:pPr>
      <w:r>
        <w:rPr>
          <w:sz w:val="16"/>
        </w:rPr>
        <w:t>Repeat brain MRI is shown in </w:t>
      </w:r>
      <w:hyperlink w:history="true" w:anchor="_bookmark0">
        <w:r>
          <w:rPr>
            <w:sz w:val="16"/>
          </w:rPr>
          <w:t>Figure</w:t>
        </w:r>
      </w:hyperlink>
      <w:r>
        <w:rPr>
          <w:sz w:val="16"/>
        </w:rPr>
        <w:t> 1. On the basis of </w:t>
      </w:r>
      <w:r>
        <w:rPr>
          <w:sz w:val="16"/>
        </w:rPr>
        <w:t>MRI</w:t>
      </w:r>
      <w:r>
        <w:rPr>
          <w:spacing w:val="40"/>
          <w:sz w:val="16"/>
        </w:rPr>
        <w:t> </w:t>
      </w:r>
      <w:r>
        <w:rPr>
          <w:sz w:val="16"/>
        </w:rPr>
        <w:t>findings,</w:t>
      </w:r>
      <w:r>
        <w:rPr>
          <w:spacing w:val="-9"/>
          <w:sz w:val="16"/>
        </w:rPr>
        <w:t> </w:t>
      </w:r>
      <w:r>
        <w:rPr>
          <w:sz w:val="16"/>
        </w:rPr>
        <w:t>we</w:t>
      </w:r>
      <w:r>
        <w:rPr>
          <w:spacing w:val="-8"/>
          <w:sz w:val="16"/>
        </w:rPr>
        <w:t> </w:t>
      </w:r>
      <w:r>
        <w:rPr>
          <w:sz w:val="16"/>
        </w:rPr>
        <w:t>performed</w:t>
      </w:r>
      <w:r>
        <w:rPr>
          <w:spacing w:val="-9"/>
          <w:sz w:val="16"/>
        </w:rPr>
        <w:t> </w:t>
      </w:r>
      <w:r>
        <w:rPr>
          <w:sz w:val="16"/>
        </w:rPr>
        <w:t>analysis</w:t>
      </w:r>
      <w:r>
        <w:rPr>
          <w:spacing w:val="-9"/>
          <w:sz w:val="16"/>
        </w:rPr>
        <w:t> </w:t>
      </w:r>
      <w:r>
        <w:rPr>
          <w:sz w:val="16"/>
        </w:rPr>
        <w:t>for</w:t>
      </w:r>
      <w:r>
        <w:rPr>
          <w:spacing w:val="-8"/>
          <w:sz w:val="16"/>
        </w:rPr>
        <w:t> </w:t>
      </w:r>
      <w:r>
        <w:rPr>
          <w:sz w:val="16"/>
        </w:rPr>
        <w:t>POLG</w:t>
      </w:r>
      <w:r>
        <w:rPr>
          <w:spacing w:val="-9"/>
          <w:sz w:val="16"/>
        </w:rPr>
        <w:t> </w:t>
      </w:r>
      <w:r>
        <w:rPr>
          <w:sz w:val="16"/>
        </w:rPr>
        <w:t>mutations,</w:t>
      </w:r>
      <w:r>
        <w:rPr>
          <w:spacing w:val="-9"/>
          <w:sz w:val="16"/>
        </w:rPr>
        <w:t> </w:t>
      </w:r>
      <w:r>
        <w:rPr>
          <w:sz w:val="16"/>
        </w:rPr>
        <w:t>which</w:t>
      </w:r>
      <w:r>
        <w:rPr>
          <w:spacing w:val="-8"/>
          <w:sz w:val="16"/>
        </w:rPr>
        <w:t> </w:t>
      </w:r>
      <w:r>
        <w:rPr>
          <w:sz w:val="16"/>
        </w:rPr>
        <w:t>revealed</w:t>
      </w:r>
      <w:r>
        <w:rPr>
          <w:spacing w:val="-9"/>
          <w:sz w:val="16"/>
        </w:rPr>
        <w:t> </w:t>
      </w:r>
      <w:r>
        <w:rPr>
          <w:sz w:val="16"/>
        </w:rPr>
        <w:t>2</w:t>
      </w:r>
      <w:r>
        <w:rPr>
          <w:spacing w:val="40"/>
          <w:sz w:val="16"/>
        </w:rPr>
        <w:t> </w:t>
      </w:r>
      <w:r>
        <w:rPr>
          <w:sz w:val="16"/>
        </w:rPr>
        <w:t>mutations in the </w:t>
      </w:r>
      <w:r>
        <w:rPr>
          <w:i/>
          <w:sz w:val="16"/>
        </w:rPr>
        <w:t>POLG </w:t>
      </w:r>
      <w:r>
        <w:rPr>
          <w:sz w:val="16"/>
        </w:rPr>
        <w:t>gene (1399G</w:t>
      </w:r>
      <w:r>
        <w:rPr>
          <w:spacing w:val="-10"/>
          <w:sz w:val="16"/>
        </w:rPr>
        <w:t> </w:t>
      </w:r>
      <w:r>
        <w:rPr>
          <w:sz w:val="16"/>
        </w:rPr>
        <w:t>&gt;</w:t>
      </w:r>
      <w:r>
        <w:rPr>
          <w:spacing w:val="-10"/>
          <w:sz w:val="16"/>
        </w:rPr>
        <w:t> </w:t>
      </w:r>
      <w:r>
        <w:rPr>
          <w:sz w:val="16"/>
        </w:rPr>
        <w:t>A, A467T and 2243G</w:t>
      </w:r>
      <w:r>
        <w:rPr>
          <w:spacing w:val="-10"/>
          <w:sz w:val="16"/>
        </w:rPr>
        <w:t> </w:t>
      </w:r>
      <w:r>
        <w:rPr>
          <w:sz w:val="16"/>
        </w:rPr>
        <w:t>&gt;</w:t>
      </w:r>
      <w:r>
        <w:rPr>
          <w:spacing w:val="-10"/>
          <w:sz w:val="16"/>
        </w:rPr>
        <w:t> </w:t>
      </w:r>
      <w:r>
        <w:rPr>
          <w:sz w:val="16"/>
        </w:rPr>
        <w:t>C,</w:t>
      </w:r>
      <w:r>
        <w:rPr>
          <w:spacing w:val="40"/>
          <w:sz w:val="16"/>
        </w:rPr>
        <w:t> </w:t>
      </w:r>
      <w:r>
        <w:rPr>
          <w:sz w:val="16"/>
        </w:rPr>
        <w:t>W748S), both in </w:t>
      </w:r>
      <w:r>
        <w:rPr>
          <w:i/>
          <w:sz w:val="16"/>
        </w:rPr>
        <w:t>trans </w:t>
      </w:r>
      <w:r>
        <w:rPr>
          <w:sz w:val="16"/>
        </w:rPr>
        <w:t>position. The patient was prescribed vitamin C</w:t>
      </w:r>
      <w:r>
        <w:rPr>
          <w:spacing w:val="40"/>
          <w:sz w:val="16"/>
        </w:rPr>
        <w:t> </w:t>
      </w:r>
      <w:r>
        <w:rPr>
          <w:sz w:val="16"/>
        </w:rPr>
        <w:t>1</w:t>
      </w:r>
      <w:r>
        <w:rPr>
          <w:spacing w:val="-10"/>
          <w:sz w:val="16"/>
        </w:rPr>
        <w:t> </w:t>
      </w:r>
      <w:r>
        <w:rPr>
          <w:sz w:val="16"/>
        </w:rPr>
        <w:t>g qid, coenzyme Q10 100</w:t>
      </w:r>
      <w:r>
        <w:rPr>
          <w:spacing w:val="-10"/>
          <w:sz w:val="16"/>
        </w:rPr>
        <w:t> </w:t>
      </w:r>
      <w:r>
        <w:rPr>
          <w:sz w:val="16"/>
        </w:rPr>
        <w:t>mg tid, </w:t>
      </w:r>
      <w:r>
        <w:rPr>
          <w:sz w:val="11"/>
        </w:rPr>
        <w:t>L</w:t>
      </w:r>
      <w:r>
        <w:rPr>
          <w:sz w:val="16"/>
        </w:rPr>
        <w:t>-carnitine 500</w:t>
      </w:r>
      <w:r>
        <w:rPr>
          <w:spacing w:val="-10"/>
          <w:sz w:val="16"/>
        </w:rPr>
        <w:t> </w:t>
      </w:r>
      <w:r>
        <w:rPr>
          <w:sz w:val="16"/>
        </w:rPr>
        <w:t>mg qid, and</w:t>
      </w:r>
      <w:r>
        <w:rPr>
          <w:spacing w:val="40"/>
          <w:sz w:val="16"/>
        </w:rPr>
        <w:t> </w:t>
      </w:r>
      <w:r>
        <w:rPr>
          <w:sz w:val="16"/>
        </w:rPr>
        <w:t>lamotrigine 25 mg bid.</w:t>
      </w:r>
    </w:p>
    <w:p>
      <w:pPr>
        <w:pStyle w:val="BodyText"/>
        <w:rPr>
          <w:sz w:val="16"/>
        </w:rPr>
      </w:pPr>
    </w:p>
    <w:p>
      <w:pPr>
        <w:pStyle w:val="BodyText"/>
        <w:spacing w:before="24"/>
        <w:rPr>
          <w:sz w:val="16"/>
        </w:rPr>
      </w:pPr>
    </w:p>
    <w:p>
      <w:pPr>
        <w:pStyle w:val="Heading1"/>
        <w:ind w:left="6"/>
      </w:pPr>
      <w:r>
        <w:rPr>
          <w:spacing w:val="-2"/>
        </w:rPr>
        <w:t>DISCUSSION</w:t>
      </w:r>
    </w:p>
    <w:p>
      <w:pPr>
        <w:pStyle w:val="BodyText"/>
        <w:spacing w:line="230" w:lineRule="auto" w:before="15"/>
        <w:ind w:left="7" w:firstLine="376"/>
        <w:jc w:val="both"/>
      </w:pPr>
      <w:r>
        <w:rPr/>
        <w:t>Differential diagnosis of autosomal recessive ataxias is wide.</w:t>
      </w:r>
      <w:r>
        <w:rPr>
          <w:spacing w:val="-10"/>
        </w:rPr>
        <w:t> </w:t>
      </w:r>
      <w:r>
        <w:rPr/>
        <w:t>Broadly,</w:t>
      </w:r>
      <w:r>
        <w:rPr>
          <w:spacing w:val="-10"/>
        </w:rPr>
        <w:t> </w:t>
      </w:r>
      <w:r>
        <w:rPr/>
        <w:t>they</w:t>
      </w:r>
      <w:r>
        <w:rPr>
          <w:spacing w:val="-9"/>
        </w:rPr>
        <w:t> </w:t>
      </w:r>
      <w:r>
        <w:rPr/>
        <w:t>can</w:t>
      </w:r>
      <w:r>
        <w:rPr>
          <w:spacing w:val="-10"/>
        </w:rPr>
        <w:t> </w:t>
      </w:r>
      <w:r>
        <w:rPr/>
        <w:t>be</w:t>
      </w:r>
      <w:r>
        <w:rPr>
          <w:spacing w:val="-10"/>
        </w:rPr>
        <w:t> </w:t>
      </w:r>
      <w:r>
        <w:rPr/>
        <w:t>divided</w:t>
      </w:r>
      <w:r>
        <w:rPr>
          <w:spacing w:val="-10"/>
        </w:rPr>
        <w:t> </w:t>
      </w:r>
      <w:r>
        <w:rPr/>
        <w:t>into</w:t>
      </w:r>
      <w:r>
        <w:rPr>
          <w:spacing w:val="-10"/>
        </w:rPr>
        <w:t> </w:t>
      </w:r>
      <w:r>
        <w:rPr/>
        <w:t>3</w:t>
      </w:r>
      <w:r>
        <w:rPr>
          <w:spacing w:val="-9"/>
        </w:rPr>
        <w:t> </w:t>
      </w:r>
      <w:r>
        <w:rPr/>
        <w:t>groups:</w:t>
      </w:r>
      <w:r>
        <w:rPr>
          <w:spacing w:val="-10"/>
        </w:rPr>
        <w:t> </w:t>
      </w:r>
      <w:r>
        <w:rPr/>
        <w:t>(1)</w:t>
      </w:r>
      <w:r>
        <w:rPr>
          <w:spacing w:val="-10"/>
        </w:rPr>
        <w:t> </w:t>
      </w:r>
      <w:r>
        <w:rPr/>
        <w:t>Friedreich ataxia-like, (2) Friedreich ataxia-like with cerebellar atrophy, and</w:t>
      </w:r>
      <w:r>
        <w:rPr>
          <w:spacing w:val="-3"/>
        </w:rPr>
        <w:t> </w:t>
      </w:r>
      <w:r>
        <w:rPr/>
        <w:t>(3)</w:t>
      </w:r>
      <w:r>
        <w:rPr>
          <w:spacing w:val="-3"/>
        </w:rPr>
        <w:t> </w:t>
      </w:r>
      <w:r>
        <w:rPr/>
        <w:t>early-onset</w:t>
      </w:r>
      <w:r>
        <w:rPr>
          <w:spacing w:val="-3"/>
        </w:rPr>
        <w:t> </w:t>
      </w:r>
      <w:r>
        <w:rPr/>
        <w:t>ataxia</w:t>
      </w:r>
      <w:r>
        <w:rPr>
          <w:spacing w:val="-3"/>
        </w:rPr>
        <w:t> </w:t>
      </w:r>
      <w:r>
        <w:rPr/>
        <w:t>with</w:t>
      </w:r>
      <w:r>
        <w:rPr>
          <w:spacing w:val="-3"/>
        </w:rPr>
        <w:t> </w:t>
      </w:r>
      <w:r>
        <w:rPr/>
        <w:t>cerebellar</w:t>
      </w:r>
      <w:r>
        <w:rPr>
          <w:spacing w:val="-3"/>
        </w:rPr>
        <w:t> </w:t>
      </w:r>
      <w:r>
        <w:rPr/>
        <w:t>atrophy.</w:t>
      </w:r>
      <w:hyperlink w:history="true" w:anchor="_bookmark1">
        <w:r>
          <w:rPr>
            <w:vertAlign w:val="superscript"/>
          </w:rPr>
          <w:t>1</w:t>
        </w:r>
      </w:hyperlink>
      <w:r>
        <w:rPr>
          <w:spacing w:val="-2"/>
          <w:vertAlign w:val="baseline"/>
        </w:rPr>
        <w:t> </w:t>
      </w:r>
      <w:r>
        <w:rPr>
          <w:vertAlign w:val="baseline"/>
        </w:rPr>
        <w:t>The</w:t>
      </w:r>
      <w:r>
        <w:rPr>
          <w:spacing w:val="-3"/>
          <w:vertAlign w:val="baseline"/>
        </w:rPr>
        <w:t> </w:t>
      </w:r>
      <w:r>
        <w:rPr>
          <w:vertAlign w:val="baseline"/>
        </w:rPr>
        <w:t>second group of ataxias includes 4 diseases: late-onset Tay-Sachs </w:t>
      </w:r>
      <w:r>
        <w:rPr>
          <w:spacing w:val="-2"/>
          <w:vertAlign w:val="baseline"/>
        </w:rPr>
        <w:t>disease, cerebrotendinous xanthomatosis, spinocerebellar ataxia </w:t>
      </w:r>
      <w:r>
        <w:rPr>
          <w:vertAlign w:val="baseline"/>
        </w:rPr>
        <w:t>with axonal neuropathy, and DNA POLG disorders (mito- chondrial recessive ataxia syndrome).</w:t>
      </w:r>
    </w:p>
    <w:p>
      <w:pPr>
        <w:pStyle w:val="BodyText"/>
        <w:spacing w:line="230" w:lineRule="auto" w:before="5"/>
        <w:ind w:left="7" w:firstLine="376"/>
        <w:jc w:val="both"/>
      </w:pPr>
      <w:r>
        <w:rPr/>
        <w:t>The human mtDNA polymerase, a crucial enzyme </w:t>
      </w:r>
      <w:r>
        <w:rPr/>
        <w:t>for mtDNA</w:t>
      </w:r>
      <w:r>
        <w:rPr>
          <w:spacing w:val="-2"/>
        </w:rPr>
        <w:t> </w:t>
      </w:r>
      <w:r>
        <w:rPr/>
        <w:t>replication</w:t>
      </w:r>
      <w:r>
        <w:rPr>
          <w:spacing w:val="-4"/>
        </w:rPr>
        <w:t> </w:t>
      </w:r>
      <w:r>
        <w:rPr/>
        <w:t>and</w:t>
      </w:r>
      <w:r>
        <w:rPr>
          <w:spacing w:val="-4"/>
        </w:rPr>
        <w:t> </w:t>
      </w:r>
      <w:r>
        <w:rPr/>
        <w:t>repair,</w:t>
      </w:r>
      <w:r>
        <w:rPr>
          <w:spacing w:val="-3"/>
        </w:rPr>
        <w:t> </w:t>
      </w:r>
      <w:r>
        <w:rPr/>
        <w:t>is</w:t>
      </w:r>
      <w:r>
        <w:rPr>
          <w:spacing w:val="-4"/>
        </w:rPr>
        <w:t> </w:t>
      </w:r>
      <w:r>
        <w:rPr/>
        <w:t>a</w:t>
      </w:r>
      <w:r>
        <w:rPr>
          <w:spacing w:val="-4"/>
        </w:rPr>
        <w:t> </w:t>
      </w:r>
      <w:r>
        <w:rPr/>
        <w:t>heterotrimer</w:t>
      </w:r>
      <w:r>
        <w:rPr>
          <w:spacing w:val="-3"/>
        </w:rPr>
        <w:t> </w:t>
      </w:r>
      <w:r>
        <w:rPr/>
        <w:t>consisting</w:t>
      </w:r>
      <w:r>
        <w:rPr>
          <w:spacing w:val="-3"/>
        </w:rPr>
        <w:t> </w:t>
      </w:r>
      <w:r>
        <w:rPr/>
        <w:t>of</w:t>
      </w:r>
      <w:r>
        <w:rPr>
          <w:spacing w:val="-4"/>
        </w:rPr>
        <w:t> </w:t>
      </w:r>
      <w:r>
        <w:rPr/>
        <w:t>a catalytic subunit (POLG) containing the polymerase and exo- nuclease activities, and 2 accessory subunits (POLG2),</w:t>
      </w:r>
      <w:hyperlink w:history="true" w:anchor="_bookmark6">
        <w:r>
          <w:rPr>
            <w:vertAlign w:val="superscript"/>
          </w:rPr>
          <w:t>6</w:t>
        </w:r>
      </w:hyperlink>
      <w:r>
        <w:rPr>
          <w:vertAlign w:val="baseline"/>
        </w:rPr>
        <w:t> and is encoded by nuclear </w:t>
      </w:r>
      <w:r>
        <w:rPr>
          <w:i/>
          <w:vertAlign w:val="baseline"/>
        </w:rPr>
        <w:t>POLG </w:t>
      </w:r>
      <w:r>
        <w:rPr>
          <w:vertAlign w:val="baseline"/>
        </w:rPr>
        <w:t>gene located on chromosome 15q25.</w:t>
      </w:r>
      <w:hyperlink w:history="true" w:anchor="_bookmark7">
        <w:r>
          <w:rPr>
            <w:vertAlign w:val="superscript"/>
          </w:rPr>
          <w:t>7</w:t>
        </w:r>
      </w:hyperlink>
      <w:r>
        <w:rPr>
          <w:vertAlign w:val="baseline"/>
        </w:rPr>
        <w:t> The consequence of POLG mutation is the accumu- lation</w:t>
      </w:r>
      <w:r>
        <w:rPr>
          <w:spacing w:val="-2"/>
          <w:vertAlign w:val="baseline"/>
        </w:rPr>
        <w:t> </w:t>
      </w:r>
      <w:r>
        <w:rPr>
          <w:vertAlign w:val="baseline"/>
        </w:rPr>
        <w:t>of</w:t>
      </w:r>
      <w:r>
        <w:rPr>
          <w:spacing w:val="-1"/>
          <w:vertAlign w:val="baseline"/>
        </w:rPr>
        <w:t> </w:t>
      </w:r>
      <w:r>
        <w:rPr>
          <w:vertAlign w:val="baseline"/>
        </w:rPr>
        <w:t>multiple</w:t>
      </w:r>
      <w:r>
        <w:rPr>
          <w:spacing w:val="-2"/>
          <w:vertAlign w:val="baseline"/>
        </w:rPr>
        <w:t> </w:t>
      </w:r>
      <w:r>
        <w:rPr>
          <w:vertAlign w:val="baseline"/>
        </w:rPr>
        <w:t>mtDNA</w:t>
      </w:r>
      <w:r>
        <w:rPr>
          <w:spacing w:val="-1"/>
          <w:vertAlign w:val="baseline"/>
        </w:rPr>
        <w:t> </w:t>
      </w:r>
      <w:r>
        <w:rPr>
          <w:vertAlign w:val="baseline"/>
        </w:rPr>
        <w:t>deletions</w:t>
      </w:r>
      <w:r>
        <w:rPr>
          <w:spacing w:val="-1"/>
          <w:vertAlign w:val="baseline"/>
        </w:rPr>
        <w:t> </w:t>
      </w:r>
      <w:r>
        <w:rPr>
          <w:vertAlign w:val="baseline"/>
        </w:rPr>
        <w:t>in</w:t>
      </w:r>
      <w:r>
        <w:rPr>
          <w:spacing w:val="-2"/>
          <w:vertAlign w:val="baseline"/>
        </w:rPr>
        <w:t> </w:t>
      </w:r>
      <w:r>
        <w:rPr>
          <w:vertAlign w:val="baseline"/>
        </w:rPr>
        <w:t>postmitotic</w:t>
      </w:r>
      <w:r>
        <w:rPr>
          <w:spacing w:val="-1"/>
          <w:vertAlign w:val="baseline"/>
        </w:rPr>
        <w:t> </w:t>
      </w:r>
      <w:r>
        <w:rPr>
          <w:vertAlign w:val="baseline"/>
        </w:rPr>
        <w:t>tissues</w:t>
      </w:r>
      <w:r>
        <w:rPr>
          <w:spacing w:val="-2"/>
          <w:vertAlign w:val="baseline"/>
        </w:rPr>
        <w:t> </w:t>
      </w:r>
      <w:r>
        <w:rPr>
          <w:vertAlign w:val="baseline"/>
        </w:rPr>
        <w:t>such as</w:t>
      </w:r>
      <w:r>
        <w:rPr>
          <w:spacing w:val="-6"/>
          <w:vertAlign w:val="baseline"/>
        </w:rPr>
        <w:t> </w:t>
      </w:r>
      <w:r>
        <w:rPr>
          <w:vertAlign w:val="baseline"/>
        </w:rPr>
        <w:t>muscle</w:t>
      </w:r>
      <w:r>
        <w:rPr>
          <w:spacing w:val="-6"/>
          <w:vertAlign w:val="baseline"/>
        </w:rPr>
        <w:t> </w:t>
      </w:r>
      <w:r>
        <w:rPr>
          <w:vertAlign w:val="baseline"/>
        </w:rPr>
        <w:t>and</w:t>
      </w:r>
      <w:r>
        <w:rPr>
          <w:spacing w:val="-6"/>
          <w:vertAlign w:val="baseline"/>
        </w:rPr>
        <w:t> </w:t>
      </w:r>
      <w:r>
        <w:rPr>
          <w:vertAlign w:val="baseline"/>
        </w:rPr>
        <w:t>brain.</w:t>
      </w:r>
      <w:r>
        <w:rPr>
          <w:spacing w:val="-6"/>
          <w:vertAlign w:val="baseline"/>
        </w:rPr>
        <w:t> </w:t>
      </w:r>
      <w:r>
        <w:rPr>
          <w:vertAlign w:val="baseline"/>
        </w:rPr>
        <w:t>A</w:t>
      </w:r>
      <w:r>
        <w:rPr>
          <w:spacing w:val="-6"/>
          <w:vertAlign w:val="baseline"/>
        </w:rPr>
        <w:t> </w:t>
      </w:r>
      <w:r>
        <w:rPr>
          <w:vertAlign w:val="baseline"/>
        </w:rPr>
        <w:t>great</w:t>
      </w:r>
      <w:r>
        <w:rPr>
          <w:spacing w:val="-6"/>
          <w:vertAlign w:val="baseline"/>
        </w:rPr>
        <w:t> </w:t>
      </w:r>
      <w:r>
        <w:rPr>
          <w:vertAlign w:val="baseline"/>
        </w:rPr>
        <w:t>majority</w:t>
      </w:r>
      <w:r>
        <w:rPr>
          <w:spacing w:val="-6"/>
          <w:vertAlign w:val="baseline"/>
        </w:rPr>
        <w:t> </w:t>
      </w:r>
      <w:r>
        <w:rPr>
          <w:vertAlign w:val="baseline"/>
        </w:rPr>
        <w:t>of</w:t>
      </w:r>
      <w:r>
        <w:rPr>
          <w:spacing w:val="-6"/>
          <w:vertAlign w:val="baseline"/>
        </w:rPr>
        <w:t> </w:t>
      </w:r>
      <w:r>
        <w:rPr>
          <w:vertAlign w:val="baseline"/>
        </w:rPr>
        <w:t>the</w:t>
      </w:r>
      <w:r>
        <w:rPr>
          <w:spacing w:val="-6"/>
          <w:vertAlign w:val="baseline"/>
        </w:rPr>
        <w:t> </w:t>
      </w:r>
      <w:r>
        <w:rPr>
          <w:vertAlign w:val="baseline"/>
        </w:rPr>
        <w:t>mutated</w:t>
      </w:r>
      <w:r>
        <w:rPr>
          <w:spacing w:val="-6"/>
          <w:vertAlign w:val="baseline"/>
        </w:rPr>
        <w:t> </w:t>
      </w:r>
      <w:r>
        <w:rPr>
          <w:vertAlign w:val="baseline"/>
        </w:rPr>
        <w:t>alleles</w:t>
      </w:r>
      <w:r>
        <w:rPr>
          <w:spacing w:val="-4"/>
          <w:vertAlign w:val="baseline"/>
        </w:rPr>
        <w:t> </w:t>
      </w:r>
      <w:r>
        <w:rPr>
          <w:vertAlign w:val="baseline"/>
        </w:rPr>
        <w:t>are missense mutations, whereas frameshift and nonsense muta- tions account for a smaller portion.</w:t>
      </w:r>
      <w:hyperlink w:history="true" w:anchor="_bookmark8">
        <w:r>
          <w:rPr>
            <w:vertAlign w:val="superscript"/>
          </w:rPr>
          <w:t>8</w:t>
        </w:r>
      </w:hyperlink>
      <w:r>
        <w:rPr>
          <w:vertAlign w:val="baseline"/>
        </w:rPr>
        <w:t> Numerous mutations of </w:t>
      </w:r>
      <w:r>
        <w:rPr>
          <w:i/>
          <w:vertAlign w:val="baseline"/>
        </w:rPr>
        <w:t>POLG</w:t>
      </w:r>
      <w:r>
        <w:rPr>
          <w:i/>
          <w:spacing w:val="26"/>
          <w:vertAlign w:val="baseline"/>
        </w:rPr>
        <w:t> </w:t>
      </w:r>
      <w:r>
        <w:rPr>
          <w:vertAlign w:val="baseline"/>
        </w:rPr>
        <w:t>gene</w:t>
      </w:r>
      <w:r>
        <w:rPr>
          <w:spacing w:val="25"/>
          <w:vertAlign w:val="baseline"/>
        </w:rPr>
        <w:t> </w:t>
      </w:r>
      <w:r>
        <w:rPr>
          <w:vertAlign w:val="baseline"/>
        </w:rPr>
        <w:t>have</w:t>
      </w:r>
      <w:r>
        <w:rPr>
          <w:spacing w:val="25"/>
          <w:vertAlign w:val="baseline"/>
        </w:rPr>
        <w:t> </w:t>
      </w:r>
      <w:r>
        <w:rPr>
          <w:vertAlign w:val="baseline"/>
        </w:rPr>
        <w:t>been</w:t>
      </w:r>
      <w:r>
        <w:rPr>
          <w:spacing w:val="25"/>
          <w:vertAlign w:val="baseline"/>
        </w:rPr>
        <w:t> </w:t>
      </w:r>
      <w:r>
        <w:rPr>
          <w:vertAlign w:val="baseline"/>
        </w:rPr>
        <w:t>identified</w:t>
      </w:r>
      <w:r>
        <w:rPr>
          <w:spacing w:val="25"/>
          <w:vertAlign w:val="baseline"/>
        </w:rPr>
        <w:t> </w:t>
      </w:r>
      <w:r>
        <w:rPr>
          <w:vertAlign w:val="baseline"/>
        </w:rPr>
        <w:t>to</w:t>
      </w:r>
      <w:r>
        <w:rPr>
          <w:spacing w:val="25"/>
          <w:vertAlign w:val="baseline"/>
        </w:rPr>
        <w:t> </w:t>
      </w:r>
      <w:r>
        <w:rPr>
          <w:vertAlign w:val="baseline"/>
        </w:rPr>
        <w:t>cause</w:t>
      </w:r>
      <w:r>
        <w:rPr>
          <w:spacing w:val="26"/>
          <w:vertAlign w:val="baseline"/>
        </w:rPr>
        <w:t> </w:t>
      </w:r>
      <w:r>
        <w:rPr>
          <w:vertAlign w:val="baseline"/>
        </w:rPr>
        <w:t>a</w:t>
      </w:r>
      <w:r>
        <w:rPr>
          <w:spacing w:val="25"/>
          <w:vertAlign w:val="baseline"/>
        </w:rPr>
        <w:t> </w:t>
      </w:r>
      <w:r>
        <w:rPr>
          <w:vertAlign w:val="baseline"/>
        </w:rPr>
        <w:t>broad</w:t>
      </w:r>
      <w:r>
        <w:rPr>
          <w:spacing w:val="25"/>
          <w:vertAlign w:val="baseline"/>
        </w:rPr>
        <w:t> </w:t>
      </w:r>
      <w:r>
        <w:rPr>
          <w:vertAlign w:val="baseline"/>
        </w:rPr>
        <w:t>spectrum of disorders inherited in autosomal dominant or autosomal recessive manner, including the autosomal dominant and recessive forms of PEO,</w:t>
      </w:r>
      <w:hyperlink w:history="true" w:anchor="_bookmark3">
        <w:r>
          <w:rPr>
            <w:vertAlign w:val="superscript"/>
          </w:rPr>
          <w:t>3,9,10</w:t>
        </w:r>
      </w:hyperlink>
      <w:r>
        <w:rPr>
          <w:vertAlign w:val="baseline"/>
        </w:rPr>
        <w:t> the autosomal recessive lethal Alpers syndrome,</w:t>
      </w:r>
      <w:hyperlink w:history="true" w:anchor="_bookmark10">
        <w:r>
          <w:rPr>
            <w:vertAlign w:val="superscript"/>
          </w:rPr>
          <w:t>11,12</w:t>
        </w:r>
      </w:hyperlink>
      <w:r>
        <w:rPr>
          <w:vertAlign w:val="baseline"/>
        </w:rPr>
        <w:t> the mitochondrial recessive ataxia syn- drome with</w:t>
      </w:r>
      <w:hyperlink w:history="true" w:anchor="_bookmark12">
        <w:r>
          <w:rPr>
            <w:vertAlign w:val="superscript"/>
          </w:rPr>
          <w:t>13</w:t>
        </w:r>
      </w:hyperlink>
      <w:r>
        <w:rPr>
          <w:vertAlign w:val="baseline"/>
        </w:rPr>
        <w:t> and without ophthalmoplegia,</w:t>
      </w:r>
      <w:hyperlink w:history="true" w:anchor="_bookmark13">
        <w:r>
          <w:rPr>
            <w:vertAlign w:val="superscript"/>
          </w:rPr>
          <w:t>14</w:t>
        </w:r>
      </w:hyperlink>
      <w:r>
        <w:rPr>
          <w:vertAlign w:val="baseline"/>
        </w:rPr>
        <w:t> ataxic neuro- pathy with dysarthria and ophthalmoparesis (SANDO),</w:t>
      </w:r>
      <w:hyperlink w:history="true" w:anchor="_bookmark14">
        <w:r>
          <w:rPr>
            <w:vertAlign w:val="superscript"/>
          </w:rPr>
          <w:t>15</w:t>
        </w:r>
      </w:hyperlink>
      <w:r>
        <w:rPr>
          <w:vertAlign w:val="baseline"/>
        </w:rPr>
        <w:t> par- kinsonism,</w:t>
      </w:r>
      <w:hyperlink w:history="true" w:anchor="_bookmark15">
        <w:r>
          <w:rPr>
            <w:vertAlign w:val="superscript"/>
          </w:rPr>
          <w:t>16</w:t>
        </w:r>
      </w:hyperlink>
      <w:r>
        <w:rPr>
          <w:spacing w:val="40"/>
          <w:vertAlign w:val="baseline"/>
        </w:rPr>
        <w:t> </w:t>
      </w:r>
      <w:r>
        <w:rPr>
          <w:vertAlign w:val="baseline"/>
        </w:rPr>
        <w:t>and</w:t>
      </w:r>
      <w:r>
        <w:rPr>
          <w:spacing w:val="40"/>
          <w:vertAlign w:val="baseline"/>
        </w:rPr>
        <w:t> </w:t>
      </w:r>
      <w:r>
        <w:rPr>
          <w:vertAlign w:val="baseline"/>
        </w:rPr>
        <w:t>male</w:t>
      </w:r>
      <w:r>
        <w:rPr>
          <w:spacing w:val="40"/>
          <w:vertAlign w:val="baseline"/>
        </w:rPr>
        <w:t> </w:t>
      </w:r>
      <w:r>
        <w:rPr>
          <w:vertAlign w:val="baseline"/>
        </w:rPr>
        <w:t>infertility.</w:t>
      </w:r>
      <w:hyperlink w:history="true" w:anchor="_bookmark16">
        <w:r>
          <w:rPr>
            <w:vertAlign w:val="superscript"/>
          </w:rPr>
          <w:t>17</w:t>
        </w:r>
      </w:hyperlink>
      <w:r>
        <w:rPr>
          <w:spacing w:val="40"/>
          <w:vertAlign w:val="baseline"/>
        </w:rPr>
        <w:t> </w:t>
      </w:r>
      <w:r>
        <w:rPr>
          <w:vertAlign w:val="baseline"/>
        </w:rPr>
        <w:t>As</w:t>
      </w:r>
      <w:r>
        <w:rPr>
          <w:spacing w:val="40"/>
          <w:vertAlign w:val="baseline"/>
        </w:rPr>
        <w:t> </w:t>
      </w:r>
      <w:r>
        <w:rPr>
          <w:vertAlign w:val="baseline"/>
        </w:rPr>
        <w:t>reported</w:t>
      </w:r>
      <w:r>
        <w:rPr>
          <w:spacing w:val="40"/>
          <w:vertAlign w:val="baseline"/>
        </w:rPr>
        <w:t> </w:t>
      </w:r>
      <w:r>
        <w:rPr>
          <w:vertAlign w:val="baseline"/>
        </w:rPr>
        <w:t>by</w:t>
      </w:r>
      <w:r>
        <w:rPr>
          <w:spacing w:val="40"/>
          <w:vertAlign w:val="baseline"/>
        </w:rPr>
        <w:t> </w:t>
      </w:r>
      <w:r>
        <w:rPr>
          <w:vertAlign w:val="baseline"/>
        </w:rPr>
        <w:t>Wong</w:t>
      </w:r>
      <w:r>
        <w:rPr>
          <w:spacing w:val="40"/>
          <w:vertAlign w:val="baseline"/>
        </w:rPr>
        <w:t> </w:t>
      </w:r>
      <w:r>
        <w:rPr>
          <w:vertAlign w:val="baseline"/>
        </w:rPr>
        <w:t>et al,</w:t>
      </w:r>
      <w:hyperlink w:history="true" w:anchor="_bookmark8">
        <w:r>
          <w:rPr>
            <w:vertAlign w:val="superscript"/>
          </w:rPr>
          <w:t>8</w:t>
        </w:r>
      </w:hyperlink>
      <w:r>
        <w:rPr>
          <w:vertAlign w:val="baseline"/>
        </w:rPr>
        <w:t> in a cohort of 350 patients, the most common POLG mutation in patients with autosomal recessive inheritance (Alpers disease, ataxia, sensory neuropathy, and PEO syn- dromes) was A467T, followed by G848S and T251I</w:t>
      </w:r>
      <w:r>
        <w:rPr>
          <w:spacing w:val="-12"/>
          <w:vertAlign w:val="baseline"/>
        </w:rPr>
        <w:t> </w:t>
      </w:r>
      <w:r>
        <w:rPr>
          <w:vertAlign w:val="baseline"/>
        </w:rPr>
        <w:t>+</w:t>
      </w:r>
      <w:r>
        <w:rPr>
          <w:spacing w:val="-11"/>
          <w:vertAlign w:val="baseline"/>
        </w:rPr>
        <w:t> </w:t>
      </w:r>
      <w:r>
        <w:rPr>
          <w:vertAlign w:val="baseline"/>
        </w:rPr>
        <w:t>P587L (in </w:t>
      </w:r>
      <w:r>
        <w:rPr>
          <w:i/>
          <w:vertAlign w:val="baseline"/>
        </w:rPr>
        <w:t>cis</w:t>
      </w:r>
      <w:r>
        <w:rPr>
          <w:vertAlign w:val="baseline"/>
        </w:rPr>
        <w:t>), W748S and T914P. Our patient was found to be compound heterozygous (A467T and W748S mutations).</w:t>
      </w:r>
    </w:p>
    <w:p>
      <w:pPr>
        <w:pStyle w:val="BodyText"/>
        <w:spacing w:line="230" w:lineRule="auto" w:before="13"/>
        <w:ind w:left="7" w:right="1" w:firstLine="376"/>
        <w:jc w:val="both"/>
      </w:pPr>
      <w:r>
        <w:rPr/>
        <w:t>Clinical presentation of recessive POLG mutations </w:t>
      </w:r>
      <w:r>
        <w:rPr/>
        <w:t>is expanded by ataxia and the neuropathy spectrum,</w:t>
      </w:r>
      <w:hyperlink w:history="true" w:anchor="_bookmark8">
        <w:r>
          <w:rPr>
            <w:vertAlign w:val="superscript"/>
          </w:rPr>
          <w:t>8</w:t>
        </w:r>
      </w:hyperlink>
      <w:r>
        <w:rPr>
          <w:vertAlign w:val="baseline"/>
        </w:rPr>
        <w:t> combined with variable features of involvement of central nervous sys- tem and other organs. Our patient presented with ataxic syn- drome, which includes an overlapping spectrum of disorders organized</w:t>
      </w:r>
      <w:r>
        <w:rPr>
          <w:spacing w:val="-4"/>
          <w:vertAlign w:val="baseline"/>
        </w:rPr>
        <w:t> </w:t>
      </w:r>
      <w:r>
        <w:rPr>
          <w:vertAlign w:val="baseline"/>
        </w:rPr>
        <w:t>around</w:t>
      </w:r>
      <w:r>
        <w:rPr>
          <w:spacing w:val="-6"/>
          <w:vertAlign w:val="baseline"/>
        </w:rPr>
        <w:t> </w:t>
      </w:r>
      <w:r>
        <w:rPr>
          <w:vertAlign w:val="baseline"/>
        </w:rPr>
        <w:t>the</w:t>
      </w:r>
      <w:r>
        <w:rPr>
          <w:spacing w:val="-5"/>
          <w:vertAlign w:val="baseline"/>
        </w:rPr>
        <w:t> </w:t>
      </w:r>
      <w:r>
        <w:rPr>
          <w:vertAlign w:val="baseline"/>
        </w:rPr>
        <w:t>finding</w:t>
      </w:r>
      <w:r>
        <w:rPr>
          <w:spacing w:val="-6"/>
          <w:vertAlign w:val="baseline"/>
        </w:rPr>
        <w:t> </w:t>
      </w:r>
      <w:r>
        <w:rPr>
          <w:vertAlign w:val="baseline"/>
        </w:rPr>
        <w:t>of</w:t>
      </w:r>
      <w:r>
        <w:rPr>
          <w:spacing w:val="-4"/>
          <w:vertAlign w:val="baseline"/>
        </w:rPr>
        <w:t> </w:t>
      </w:r>
      <w:r>
        <w:rPr>
          <w:vertAlign w:val="baseline"/>
        </w:rPr>
        <w:t>ataxia</w:t>
      </w:r>
      <w:r>
        <w:rPr>
          <w:spacing w:val="-6"/>
          <w:vertAlign w:val="baseline"/>
        </w:rPr>
        <w:t> </w:t>
      </w:r>
      <w:r>
        <w:rPr>
          <w:vertAlign w:val="baseline"/>
        </w:rPr>
        <w:t>demonstrating</w:t>
      </w:r>
      <w:r>
        <w:rPr>
          <w:spacing w:val="-4"/>
          <w:vertAlign w:val="baseline"/>
        </w:rPr>
        <w:t> </w:t>
      </w:r>
      <w:r>
        <w:rPr>
          <w:vertAlign w:val="baseline"/>
        </w:rPr>
        <w:t>recessive inheritance, primarily due to its onset before the age of 20 and presence</w:t>
      </w:r>
      <w:r>
        <w:rPr>
          <w:spacing w:val="3"/>
          <w:vertAlign w:val="baseline"/>
        </w:rPr>
        <w:t> </w:t>
      </w:r>
      <w:r>
        <w:rPr>
          <w:vertAlign w:val="baseline"/>
        </w:rPr>
        <w:t>of</w:t>
      </w:r>
      <w:r>
        <w:rPr>
          <w:spacing w:val="3"/>
          <w:vertAlign w:val="baseline"/>
        </w:rPr>
        <w:t> </w:t>
      </w:r>
      <w:r>
        <w:rPr>
          <w:vertAlign w:val="baseline"/>
        </w:rPr>
        <w:t>peripheral</w:t>
      </w:r>
      <w:r>
        <w:rPr>
          <w:spacing w:val="4"/>
          <w:vertAlign w:val="baseline"/>
        </w:rPr>
        <w:t> </w:t>
      </w:r>
      <w:r>
        <w:rPr>
          <w:vertAlign w:val="baseline"/>
        </w:rPr>
        <w:t>sensory</w:t>
      </w:r>
      <w:r>
        <w:rPr>
          <w:spacing w:val="3"/>
          <w:vertAlign w:val="baseline"/>
        </w:rPr>
        <w:t> </w:t>
      </w:r>
      <w:r>
        <w:rPr>
          <w:vertAlign w:val="baseline"/>
        </w:rPr>
        <w:t>neuropathy.</w:t>
      </w:r>
      <w:r>
        <w:rPr>
          <w:spacing w:val="3"/>
          <w:vertAlign w:val="baseline"/>
        </w:rPr>
        <w:t> </w:t>
      </w:r>
      <w:r>
        <w:rPr>
          <w:vertAlign w:val="baseline"/>
        </w:rPr>
        <w:t>Most</w:t>
      </w:r>
      <w:r>
        <w:rPr>
          <w:spacing w:val="3"/>
          <w:vertAlign w:val="baseline"/>
        </w:rPr>
        <w:t> </w:t>
      </w:r>
      <w:r>
        <w:rPr>
          <w:vertAlign w:val="baseline"/>
        </w:rPr>
        <w:t>patients</w:t>
      </w:r>
      <w:r>
        <w:rPr>
          <w:spacing w:val="3"/>
          <w:vertAlign w:val="baseline"/>
        </w:rPr>
        <w:t> </w:t>
      </w:r>
      <w:r>
        <w:rPr>
          <w:spacing w:val="-4"/>
          <w:vertAlign w:val="baseline"/>
        </w:rPr>
        <w:t>have</w:t>
      </w:r>
    </w:p>
    <w:p>
      <w:pPr>
        <w:pStyle w:val="BodyText"/>
        <w:spacing w:line="230" w:lineRule="auto" w:before="78"/>
        <w:ind w:left="7" w:right="4"/>
        <w:jc w:val="both"/>
      </w:pPr>
      <w:r>
        <w:rPr/>
        <w:br w:type="column"/>
      </w:r>
      <w:r>
        <w:rPr/>
        <w:t>additional symptoms, which may include PEO, </w:t>
      </w:r>
      <w:r>
        <w:rPr/>
        <w:t>neuropathy, and dysarthria. MRI is very helpful in deciding when to order genetic testing for POLG mutations as MRI shows character- istic lesions that are hyperintense relative to gray matter. Typically, these are seen centrally in the posterior part of the thalamus, dentate nuclei, and inferior olives, and probably are caused by neuronal loss with secondary gliosis.</w:t>
      </w:r>
      <w:hyperlink w:history="true" w:anchor="_bookmark11">
        <w:r>
          <w:rPr>
            <w:vertAlign w:val="superscript"/>
          </w:rPr>
          <w:t>12,18</w:t>
        </w:r>
      </w:hyperlink>
      <w:r>
        <w:rPr>
          <w:vertAlign w:val="baseline"/>
        </w:rPr>
        <w:t> These</w:t>
      </w:r>
      <w:r>
        <w:rPr>
          <w:spacing w:val="80"/>
          <w:vertAlign w:val="baseline"/>
        </w:rPr>
        <w:t> </w:t>
      </w:r>
      <w:r>
        <w:rPr>
          <w:vertAlign w:val="baseline"/>
        </w:rPr>
        <w:t>MRI findings after lengthy investigations revealed the true etiology of symptoms in our patient. The involvement of these particular brain areas can be explained not just with high- energy demands of the brain region involved but also with secondary vascular effects due to pH changes.</w:t>
      </w:r>
      <w:hyperlink w:history="true" w:anchor="_bookmark11">
        <w:r>
          <w:rPr>
            <w:vertAlign w:val="superscript"/>
          </w:rPr>
          <w:t>12</w:t>
        </w:r>
      </w:hyperlink>
    </w:p>
    <w:p>
      <w:pPr>
        <w:pStyle w:val="BodyText"/>
        <w:spacing w:line="230" w:lineRule="auto" w:before="6"/>
        <w:ind w:left="7" w:right="5" w:firstLine="376"/>
        <w:jc w:val="both"/>
      </w:pPr>
      <w:r>
        <w:rPr/>
        <w:t>Taking into account the genetic, clinical, and </w:t>
      </w:r>
      <w:r>
        <w:rPr/>
        <w:t>neuro- radiologic findings, SANDO or autosomal recessive mito- chondrial ataxic syndrome due to mitochondrial POLG muta- tions</w:t>
      </w:r>
      <w:r>
        <w:rPr>
          <w:spacing w:val="-1"/>
        </w:rPr>
        <w:t> </w:t>
      </w:r>
      <w:r>
        <w:rPr/>
        <w:t>were the 2</w:t>
      </w:r>
      <w:r>
        <w:rPr>
          <w:spacing w:val="-1"/>
        </w:rPr>
        <w:t> </w:t>
      </w:r>
      <w:r>
        <w:rPr/>
        <w:t>syndromes</w:t>
      </w:r>
      <w:r>
        <w:rPr>
          <w:spacing w:val="-1"/>
        </w:rPr>
        <w:t> </w:t>
      </w:r>
      <w:r>
        <w:rPr/>
        <w:t>considered in</w:t>
      </w:r>
      <w:r>
        <w:rPr>
          <w:spacing w:val="-1"/>
        </w:rPr>
        <w:t> </w:t>
      </w:r>
      <w:r>
        <w:rPr/>
        <w:t>our patient. SANDO comprises of a triad of sensory ataxic neuropathy, dysarthria, and ophthalmoparesis.</w:t>
      </w:r>
      <w:hyperlink w:history="true" w:anchor="_bookmark17">
        <w:r>
          <w:rPr>
            <w:vertAlign w:val="superscript"/>
          </w:rPr>
          <w:t>19</w:t>
        </w:r>
      </w:hyperlink>
      <w:r>
        <w:rPr>
          <w:vertAlign w:val="baseline"/>
        </w:rPr>
        <w:t> Palatal tremor and memory loss have been reported as additional symptoms.</w:t>
      </w:r>
      <w:hyperlink w:history="true" w:anchor="_bookmark12">
        <w:r>
          <w:rPr>
            <w:vertAlign w:val="superscript"/>
          </w:rPr>
          <w:t>13</w:t>
        </w:r>
      </w:hyperlink>
      <w:r>
        <w:rPr>
          <w:vertAlign w:val="baseline"/>
        </w:rPr>
        <w:t> Besides POLG mutations, other gene mutations can cause this syndrome as it is a genetically heterogenous disease.</w:t>
      </w:r>
      <w:hyperlink w:history="true" w:anchor="_bookmark18">
        <w:r>
          <w:rPr>
            <w:vertAlign w:val="superscript"/>
          </w:rPr>
          <w:t>20</w:t>
        </w:r>
      </w:hyperlink>
      <w:r>
        <w:rPr>
          <w:vertAlign w:val="baseline"/>
        </w:rPr>
        <w:t> POLG mutations that are reported to be the cause of SANDO include A467T, R627W, H932Y, and G1051R.</w:t>
      </w:r>
      <w:hyperlink w:history="true" w:anchor="_bookmark9">
        <w:r>
          <w:rPr>
            <w:vertAlign w:val="superscript"/>
          </w:rPr>
          <w:t>10,21–23</w:t>
        </w:r>
      </w:hyperlink>
    </w:p>
    <w:p>
      <w:pPr>
        <w:pStyle w:val="BodyText"/>
        <w:spacing w:line="230" w:lineRule="auto" w:before="6"/>
        <w:ind w:left="7" w:right="5" w:firstLine="376"/>
        <w:jc w:val="both"/>
      </w:pPr>
      <w:r>
        <w:rPr/>
        <w:t>Autosomal recessive mitochondrial ataxic syndrome </w:t>
      </w:r>
      <w:r>
        <w:rPr/>
        <w:t>is characterized by gait and limb ataxia, dysarthria, polyneur- opathy, hyporeflexia, nystagmus, cognitive impairment, epi- lepsy, and in some cases ophthalmoparesis. POLG mutations have been found in A467T and T748S.</w:t>
      </w:r>
      <w:hyperlink w:history="true" w:anchor="_bookmark1">
        <w:r>
          <w:rPr>
            <w:vertAlign w:val="superscript"/>
          </w:rPr>
          <w:t>1,14</w:t>
        </w:r>
      </w:hyperlink>
    </w:p>
    <w:p>
      <w:pPr>
        <w:pStyle w:val="BodyText"/>
        <w:spacing w:line="230" w:lineRule="auto" w:before="3"/>
        <w:ind w:left="7" w:right="3" w:firstLine="376"/>
        <w:jc w:val="both"/>
      </w:pPr>
      <w:r>
        <w:rPr/>
        <w:t>We</w:t>
      </w:r>
      <w:r>
        <w:rPr>
          <w:spacing w:val="-10"/>
        </w:rPr>
        <w:t> </w:t>
      </w:r>
      <w:r>
        <w:rPr/>
        <w:t>present</w:t>
      </w:r>
      <w:r>
        <w:rPr>
          <w:spacing w:val="-9"/>
        </w:rPr>
        <w:t> </w:t>
      </w:r>
      <w:r>
        <w:rPr/>
        <w:t>a</w:t>
      </w:r>
      <w:r>
        <w:rPr>
          <w:spacing w:val="-9"/>
        </w:rPr>
        <w:t> </w:t>
      </w:r>
      <w:r>
        <w:rPr/>
        <w:t>case</w:t>
      </w:r>
      <w:r>
        <w:rPr>
          <w:spacing w:val="-10"/>
        </w:rPr>
        <w:t> </w:t>
      </w:r>
      <w:r>
        <w:rPr/>
        <w:t>exhibiting</w:t>
      </w:r>
      <w:r>
        <w:rPr>
          <w:spacing w:val="-9"/>
        </w:rPr>
        <w:t> </w:t>
      </w:r>
      <w:r>
        <w:rPr/>
        <w:t>features</w:t>
      </w:r>
      <w:r>
        <w:rPr>
          <w:spacing w:val="-10"/>
        </w:rPr>
        <w:t> </w:t>
      </w:r>
      <w:r>
        <w:rPr/>
        <w:t>of</w:t>
      </w:r>
      <w:r>
        <w:rPr>
          <w:spacing w:val="-9"/>
        </w:rPr>
        <w:t> </w:t>
      </w:r>
      <w:r>
        <w:rPr/>
        <w:t>both</w:t>
      </w:r>
      <w:r>
        <w:rPr>
          <w:spacing w:val="-9"/>
        </w:rPr>
        <w:t> </w:t>
      </w:r>
      <w:r>
        <w:rPr/>
        <w:t>SANDO</w:t>
      </w:r>
      <w:r>
        <w:rPr>
          <w:spacing w:val="-9"/>
        </w:rPr>
        <w:t> </w:t>
      </w:r>
      <w:r>
        <w:rPr/>
        <w:t>and autosomal recessive mitochondrial ataxic syndrome. Recently, </w:t>
      </w:r>
      <w:r>
        <w:rPr>
          <w:spacing w:val="-2"/>
        </w:rPr>
        <w:t>some</w:t>
      </w:r>
      <w:r>
        <w:rPr>
          <w:spacing w:val="-7"/>
        </w:rPr>
        <w:t> </w:t>
      </w:r>
      <w:r>
        <w:rPr>
          <w:spacing w:val="-2"/>
        </w:rPr>
        <w:t>authors</w:t>
      </w:r>
      <w:r>
        <w:rPr>
          <w:spacing w:val="-7"/>
        </w:rPr>
        <w:t> </w:t>
      </w:r>
      <w:r>
        <w:rPr>
          <w:spacing w:val="-2"/>
        </w:rPr>
        <w:t>were</w:t>
      </w:r>
      <w:r>
        <w:rPr>
          <w:spacing w:val="-4"/>
        </w:rPr>
        <w:t> </w:t>
      </w:r>
      <w:r>
        <w:rPr>
          <w:spacing w:val="-2"/>
        </w:rPr>
        <w:t>inclined</w:t>
      </w:r>
      <w:r>
        <w:rPr>
          <w:spacing w:val="-4"/>
        </w:rPr>
        <w:t> </w:t>
      </w:r>
      <w:r>
        <w:rPr>
          <w:spacing w:val="-2"/>
        </w:rPr>
        <w:t>to</w:t>
      </w:r>
      <w:r>
        <w:rPr>
          <w:spacing w:val="-4"/>
        </w:rPr>
        <w:t> </w:t>
      </w:r>
      <w:r>
        <w:rPr>
          <w:spacing w:val="-2"/>
        </w:rPr>
        <w:t>include</w:t>
      </w:r>
      <w:r>
        <w:rPr>
          <w:spacing w:val="-5"/>
        </w:rPr>
        <w:t> </w:t>
      </w:r>
      <w:r>
        <w:rPr>
          <w:spacing w:val="-2"/>
        </w:rPr>
        <w:t>these</w:t>
      </w:r>
      <w:r>
        <w:rPr>
          <w:spacing w:val="-4"/>
        </w:rPr>
        <w:t> </w:t>
      </w:r>
      <w:r>
        <w:rPr>
          <w:spacing w:val="-2"/>
        </w:rPr>
        <w:t>2</w:t>
      </w:r>
      <w:r>
        <w:rPr>
          <w:spacing w:val="-5"/>
        </w:rPr>
        <w:t> </w:t>
      </w:r>
      <w:r>
        <w:rPr>
          <w:spacing w:val="-2"/>
        </w:rPr>
        <w:t>syndromes</w:t>
      </w:r>
      <w:r>
        <w:rPr>
          <w:spacing w:val="-7"/>
        </w:rPr>
        <w:t> </w:t>
      </w:r>
      <w:r>
        <w:rPr>
          <w:spacing w:val="-2"/>
        </w:rPr>
        <w:t>as</w:t>
      </w:r>
      <w:r>
        <w:rPr>
          <w:spacing w:val="-6"/>
        </w:rPr>
        <w:t> </w:t>
      </w:r>
      <w:r>
        <w:rPr>
          <w:spacing w:val="-2"/>
        </w:rPr>
        <w:t>well as</w:t>
      </w:r>
      <w:r>
        <w:rPr>
          <w:spacing w:val="-10"/>
        </w:rPr>
        <w:t> </w:t>
      </w:r>
      <w:r>
        <w:rPr>
          <w:spacing w:val="-2"/>
        </w:rPr>
        <w:t>spinocerebellar</w:t>
      </w:r>
      <w:r>
        <w:rPr>
          <w:spacing w:val="-9"/>
        </w:rPr>
        <w:t> </w:t>
      </w:r>
      <w:r>
        <w:rPr>
          <w:spacing w:val="-2"/>
        </w:rPr>
        <w:t>ataxia</w:t>
      </w:r>
      <w:r>
        <w:rPr>
          <w:spacing w:val="-9"/>
        </w:rPr>
        <w:t> </w:t>
      </w:r>
      <w:r>
        <w:rPr>
          <w:spacing w:val="-2"/>
        </w:rPr>
        <w:t>with</w:t>
      </w:r>
      <w:r>
        <w:rPr>
          <w:spacing w:val="-9"/>
        </w:rPr>
        <w:t> </w:t>
      </w:r>
      <w:r>
        <w:rPr>
          <w:spacing w:val="-2"/>
        </w:rPr>
        <w:t>epilepsy</w:t>
      </w:r>
      <w:r>
        <w:rPr>
          <w:spacing w:val="-10"/>
        </w:rPr>
        <w:t> </w:t>
      </w:r>
      <w:r>
        <w:rPr>
          <w:spacing w:val="-2"/>
        </w:rPr>
        <w:t>into</w:t>
      </w:r>
      <w:r>
        <w:rPr>
          <w:spacing w:val="-9"/>
        </w:rPr>
        <w:t> </w:t>
      </w:r>
      <w:r>
        <w:rPr>
          <w:spacing w:val="-2"/>
        </w:rPr>
        <w:t>the</w:t>
      </w:r>
      <w:r>
        <w:rPr>
          <w:spacing w:val="-9"/>
        </w:rPr>
        <w:t> </w:t>
      </w:r>
      <w:r>
        <w:rPr>
          <w:spacing w:val="-2"/>
        </w:rPr>
        <w:t>ataxia</w:t>
      </w:r>
      <w:r>
        <w:rPr>
          <w:spacing w:val="-9"/>
        </w:rPr>
        <w:t> </w:t>
      </w:r>
      <w:r>
        <w:rPr>
          <w:spacing w:val="-2"/>
        </w:rPr>
        <w:t>neuropathy </w:t>
      </w:r>
      <w:r>
        <w:rPr/>
        <w:t>spectrum or syndrome.</w:t>
      </w:r>
      <w:hyperlink w:history="true" w:anchor="_bookmark19">
        <w:r>
          <w:rPr>
            <w:vertAlign w:val="superscript"/>
          </w:rPr>
          <w:t>23,24</w:t>
        </w:r>
      </w:hyperlink>
      <w:r>
        <w:rPr>
          <w:vertAlign w:val="baseline"/>
        </w:rPr>
        <w:t> In addition, our patient </w:t>
      </w:r>
      <w:r>
        <w:rPr>
          <w:vertAlign w:val="baseline"/>
        </w:rPr>
        <w:t>presented with choreoathetotic movements and dysphonia. As there is a </w:t>
      </w:r>
      <w:r>
        <w:rPr>
          <w:spacing w:val="-2"/>
          <w:vertAlign w:val="baseline"/>
        </w:rPr>
        <w:t>huge</w:t>
      </w:r>
      <w:r>
        <w:rPr>
          <w:spacing w:val="-9"/>
          <w:vertAlign w:val="baseline"/>
        </w:rPr>
        <w:t> </w:t>
      </w:r>
      <w:r>
        <w:rPr>
          <w:spacing w:val="-2"/>
          <w:vertAlign w:val="baseline"/>
        </w:rPr>
        <w:t>inconsistency</w:t>
      </w:r>
      <w:r>
        <w:rPr>
          <w:spacing w:val="-10"/>
          <w:vertAlign w:val="baseline"/>
        </w:rPr>
        <w:t> </w:t>
      </w:r>
      <w:r>
        <w:rPr>
          <w:spacing w:val="-2"/>
          <w:vertAlign w:val="baseline"/>
        </w:rPr>
        <w:t>in</w:t>
      </w:r>
      <w:r>
        <w:rPr>
          <w:spacing w:val="-9"/>
          <w:vertAlign w:val="baseline"/>
        </w:rPr>
        <w:t> </w:t>
      </w:r>
      <w:r>
        <w:rPr>
          <w:spacing w:val="-2"/>
          <w:vertAlign w:val="baseline"/>
        </w:rPr>
        <w:t>muscle</w:t>
      </w:r>
      <w:r>
        <w:rPr>
          <w:spacing w:val="-9"/>
          <w:vertAlign w:val="baseline"/>
        </w:rPr>
        <w:t> </w:t>
      </w:r>
      <w:r>
        <w:rPr>
          <w:spacing w:val="-2"/>
          <w:vertAlign w:val="baseline"/>
        </w:rPr>
        <w:t>biopsy</w:t>
      </w:r>
      <w:r>
        <w:rPr>
          <w:spacing w:val="-9"/>
          <w:vertAlign w:val="baseline"/>
        </w:rPr>
        <w:t> </w:t>
      </w:r>
      <w:r>
        <w:rPr>
          <w:spacing w:val="-2"/>
          <w:vertAlign w:val="baseline"/>
        </w:rPr>
        <w:t>and</w:t>
      </w:r>
      <w:r>
        <w:rPr>
          <w:spacing w:val="-8"/>
          <w:vertAlign w:val="baseline"/>
        </w:rPr>
        <w:t> </w:t>
      </w:r>
      <w:r>
        <w:rPr>
          <w:spacing w:val="-2"/>
          <w:vertAlign w:val="baseline"/>
        </w:rPr>
        <w:t>biochemical</w:t>
      </w:r>
      <w:r>
        <w:rPr>
          <w:spacing w:val="-8"/>
          <w:vertAlign w:val="baseline"/>
        </w:rPr>
        <w:t> </w:t>
      </w:r>
      <w:r>
        <w:rPr>
          <w:spacing w:val="-2"/>
          <w:vertAlign w:val="baseline"/>
        </w:rPr>
        <w:t>findings</w:t>
      </w:r>
      <w:r>
        <w:rPr>
          <w:spacing w:val="-9"/>
          <w:vertAlign w:val="baseline"/>
        </w:rPr>
        <w:t> </w:t>
      </w:r>
      <w:r>
        <w:rPr>
          <w:spacing w:val="-2"/>
          <w:vertAlign w:val="baseline"/>
        </w:rPr>
        <w:t>in </w:t>
      </w:r>
      <w:r>
        <w:rPr>
          <w:vertAlign w:val="baseline"/>
        </w:rPr>
        <w:t>patients with POLG mutations,</w:t>
      </w:r>
      <w:hyperlink w:history="true" w:anchor="_bookmark12">
        <w:r>
          <w:rPr>
            <w:vertAlign w:val="superscript"/>
          </w:rPr>
          <w:t>13</w:t>
        </w:r>
      </w:hyperlink>
      <w:r>
        <w:rPr>
          <w:vertAlign w:val="baseline"/>
        </w:rPr>
        <w:t> brain MRI is the diagnostic </w:t>
      </w:r>
      <w:r>
        <w:rPr>
          <w:spacing w:val="-2"/>
          <w:vertAlign w:val="baseline"/>
        </w:rPr>
        <w:t>procedure</w:t>
      </w:r>
      <w:r>
        <w:rPr>
          <w:spacing w:val="-7"/>
          <w:vertAlign w:val="baseline"/>
        </w:rPr>
        <w:t> </w:t>
      </w:r>
      <w:r>
        <w:rPr>
          <w:spacing w:val="-2"/>
          <w:vertAlign w:val="baseline"/>
        </w:rPr>
        <w:t>of</w:t>
      </w:r>
      <w:r>
        <w:rPr>
          <w:spacing w:val="-5"/>
          <w:vertAlign w:val="baseline"/>
        </w:rPr>
        <w:t> </w:t>
      </w:r>
      <w:r>
        <w:rPr>
          <w:spacing w:val="-2"/>
          <w:vertAlign w:val="baseline"/>
        </w:rPr>
        <w:t>choice</w:t>
      </w:r>
      <w:r>
        <w:rPr>
          <w:spacing w:val="-4"/>
          <w:vertAlign w:val="baseline"/>
        </w:rPr>
        <w:t> </w:t>
      </w:r>
      <w:r>
        <w:rPr>
          <w:spacing w:val="-2"/>
          <w:vertAlign w:val="baseline"/>
        </w:rPr>
        <w:t>that</w:t>
      </w:r>
      <w:r>
        <w:rPr>
          <w:spacing w:val="-7"/>
          <w:vertAlign w:val="baseline"/>
        </w:rPr>
        <w:t> </w:t>
      </w:r>
      <w:r>
        <w:rPr>
          <w:spacing w:val="-2"/>
          <w:vertAlign w:val="baseline"/>
        </w:rPr>
        <w:t>can</w:t>
      </w:r>
      <w:r>
        <w:rPr>
          <w:spacing w:val="-6"/>
          <w:vertAlign w:val="baseline"/>
        </w:rPr>
        <w:t> </w:t>
      </w:r>
      <w:r>
        <w:rPr>
          <w:spacing w:val="-2"/>
          <w:vertAlign w:val="baseline"/>
        </w:rPr>
        <w:t>lead</w:t>
      </w:r>
      <w:r>
        <w:rPr>
          <w:spacing w:val="-6"/>
          <w:vertAlign w:val="baseline"/>
        </w:rPr>
        <w:t> </w:t>
      </w:r>
      <w:r>
        <w:rPr>
          <w:spacing w:val="-2"/>
          <w:vertAlign w:val="baseline"/>
        </w:rPr>
        <w:t>to</w:t>
      </w:r>
      <w:r>
        <w:rPr>
          <w:spacing w:val="-4"/>
          <w:vertAlign w:val="baseline"/>
        </w:rPr>
        <w:t> </w:t>
      </w:r>
      <w:r>
        <w:rPr>
          <w:spacing w:val="-2"/>
          <w:vertAlign w:val="baseline"/>
        </w:rPr>
        <w:t>molecular</w:t>
      </w:r>
      <w:r>
        <w:rPr>
          <w:spacing w:val="-5"/>
          <w:vertAlign w:val="baseline"/>
        </w:rPr>
        <w:t> </w:t>
      </w:r>
      <w:r>
        <w:rPr>
          <w:spacing w:val="-2"/>
          <w:vertAlign w:val="baseline"/>
        </w:rPr>
        <w:t>analysis</w:t>
      </w:r>
      <w:r>
        <w:rPr>
          <w:spacing w:val="-7"/>
          <w:vertAlign w:val="baseline"/>
        </w:rPr>
        <w:t> </w:t>
      </w:r>
      <w:r>
        <w:rPr>
          <w:spacing w:val="-2"/>
          <w:vertAlign w:val="baseline"/>
        </w:rPr>
        <w:t>of</w:t>
      </w:r>
      <w:r>
        <w:rPr>
          <w:spacing w:val="-5"/>
          <w:vertAlign w:val="baseline"/>
        </w:rPr>
        <w:t> </w:t>
      </w:r>
      <w:r>
        <w:rPr>
          <w:i/>
          <w:spacing w:val="-2"/>
          <w:vertAlign w:val="baseline"/>
        </w:rPr>
        <w:t>POLG </w:t>
      </w:r>
      <w:r>
        <w:rPr>
          <w:spacing w:val="-2"/>
          <w:vertAlign w:val="baseline"/>
        </w:rPr>
        <w:t>gene,</w:t>
      </w:r>
      <w:r>
        <w:rPr>
          <w:spacing w:val="-10"/>
          <w:vertAlign w:val="baseline"/>
        </w:rPr>
        <w:t> </w:t>
      </w:r>
      <w:r>
        <w:rPr>
          <w:spacing w:val="-2"/>
          <w:vertAlign w:val="baseline"/>
        </w:rPr>
        <w:t>thus</w:t>
      </w:r>
      <w:r>
        <w:rPr>
          <w:spacing w:val="-9"/>
          <w:vertAlign w:val="baseline"/>
        </w:rPr>
        <w:t> </w:t>
      </w:r>
      <w:r>
        <w:rPr>
          <w:spacing w:val="-2"/>
          <w:vertAlign w:val="baseline"/>
        </w:rPr>
        <w:t>yielding</w:t>
      </w:r>
      <w:r>
        <w:rPr>
          <w:spacing w:val="-9"/>
          <w:vertAlign w:val="baseline"/>
        </w:rPr>
        <w:t> </w:t>
      </w:r>
      <w:r>
        <w:rPr>
          <w:spacing w:val="-2"/>
          <w:vertAlign w:val="baseline"/>
        </w:rPr>
        <w:t>definitive</w:t>
      </w:r>
      <w:r>
        <w:rPr>
          <w:spacing w:val="-7"/>
          <w:vertAlign w:val="baseline"/>
        </w:rPr>
        <w:t> </w:t>
      </w:r>
      <w:r>
        <w:rPr>
          <w:spacing w:val="-2"/>
          <w:vertAlign w:val="baseline"/>
        </w:rPr>
        <w:t>diagnosis.</w:t>
      </w:r>
      <w:r>
        <w:rPr>
          <w:spacing w:val="-10"/>
          <w:vertAlign w:val="baseline"/>
        </w:rPr>
        <w:t> </w:t>
      </w:r>
      <w:r>
        <w:rPr>
          <w:spacing w:val="-2"/>
          <w:vertAlign w:val="baseline"/>
        </w:rPr>
        <w:t>Because</w:t>
      </w:r>
      <w:r>
        <w:rPr>
          <w:spacing w:val="-9"/>
          <w:vertAlign w:val="baseline"/>
        </w:rPr>
        <w:t> </w:t>
      </w:r>
      <w:r>
        <w:rPr>
          <w:spacing w:val="-2"/>
          <w:vertAlign w:val="baseline"/>
        </w:rPr>
        <w:t>there</w:t>
      </w:r>
      <w:r>
        <w:rPr>
          <w:spacing w:val="-8"/>
          <w:vertAlign w:val="baseline"/>
        </w:rPr>
        <w:t> </w:t>
      </w:r>
      <w:r>
        <w:rPr>
          <w:spacing w:val="-2"/>
          <w:vertAlign w:val="baseline"/>
        </w:rPr>
        <w:t>is</w:t>
      </w:r>
      <w:r>
        <w:rPr>
          <w:spacing w:val="-10"/>
          <w:vertAlign w:val="baseline"/>
        </w:rPr>
        <w:t> </w:t>
      </w:r>
      <w:r>
        <w:rPr>
          <w:spacing w:val="-2"/>
          <w:vertAlign w:val="baseline"/>
        </w:rPr>
        <w:t>no</w:t>
      </w:r>
      <w:r>
        <w:rPr>
          <w:spacing w:val="-9"/>
          <w:vertAlign w:val="baseline"/>
        </w:rPr>
        <w:t> </w:t>
      </w:r>
      <w:r>
        <w:rPr>
          <w:spacing w:val="-2"/>
          <w:vertAlign w:val="baseline"/>
        </w:rPr>
        <w:t>clear </w:t>
      </w:r>
      <w:r>
        <w:rPr>
          <w:vertAlign w:val="baseline"/>
        </w:rPr>
        <w:t>correlation between genotype and phenotype in patients with POLG mutations, we believe it to be clinically more useful to consider POLG mutation-related phenotype as</w:t>
      </w:r>
      <w:r>
        <w:rPr>
          <w:spacing w:val="-1"/>
          <w:vertAlign w:val="baseline"/>
        </w:rPr>
        <w:t> </w:t>
      </w:r>
      <w:r>
        <w:rPr>
          <w:vertAlign w:val="baseline"/>
        </w:rPr>
        <w:t>a clinical entity with a diverse symptomatic presentation.</w:t>
      </w:r>
    </w:p>
    <w:p>
      <w:pPr>
        <w:pStyle w:val="BodyText"/>
      </w:pPr>
    </w:p>
    <w:p>
      <w:pPr>
        <w:pStyle w:val="BodyText"/>
        <w:spacing w:before="96"/>
      </w:pPr>
    </w:p>
    <w:p>
      <w:pPr>
        <w:pStyle w:val="BodyText"/>
        <w:jc w:val="center"/>
        <w:rPr>
          <w:rFonts w:ascii="Arial"/>
        </w:rPr>
      </w:pPr>
      <w:bookmarkStart w:name="_bookmark1" w:id="2"/>
      <w:bookmarkEnd w:id="2"/>
      <w:r>
        <w:rPr/>
      </w:r>
      <w:r>
        <w:rPr>
          <w:rFonts w:ascii="Arial"/>
          <w:spacing w:val="-2"/>
          <w:w w:val="95"/>
        </w:rPr>
        <w:t>REFERENCES</w:t>
      </w:r>
    </w:p>
    <w:p>
      <w:pPr>
        <w:pStyle w:val="ListParagraph"/>
        <w:numPr>
          <w:ilvl w:val="0"/>
          <w:numId w:val="1"/>
        </w:numPr>
        <w:tabs>
          <w:tab w:pos="286" w:val="left" w:leader="none"/>
        </w:tabs>
        <w:spacing w:line="232" w:lineRule="auto" w:before="77" w:after="0"/>
        <w:ind w:left="286" w:right="5" w:hanging="200"/>
        <w:jc w:val="both"/>
        <w:rPr>
          <w:sz w:val="16"/>
        </w:rPr>
      </w:pPr>
      <w:r>
        <w:rPr>
          <w:sz w:val="16"/>
        </w:rPr>
        <w:t>Fogel BL, Perlman S. Clinical features and molecular genetics </w:t>
      </w:r>
      <w:r>
        <w:rPr>
          <w:sz w:val="16"/>
        </w:rPr>
        <w:t>of</w:t>
      </w:r>
      <w:r>
        <w:rPr>
          <w:spacing w:val="40"/>
          <w:sz w:val="16"/>
        </w:rPr>
        <w:t> </w:t>
      </w:r>
      <w:r>
        <w:rPr>
          <w:sz w:val="16"/>
        </w:rPr>
        <w:t>autosomal recessive cerebellar ataxias. </w:t>
      </w:r>
      <w:r>
        <w:rPr>
          <w:i/>
          <w:sz w:val="16"/>
        </w:rPr>
        <w:t>Lancet Neurol</w:t>
      </w:r>
      <w:r>
        <w:rPr>
          <w:sz w:val="16"/>
        </w:rPr>
        <w:t>. 2007;6:</w:t>
      </w:r>
      <w:r>
        <w:rPr>
          <w:spacing w:val="40"/>
          <w:sz w:val="16"/>
        </w:rPr>
        <w:t> </w:t>
      </w:r>
      <w:r>
        <w:rPr>
          <w:spacing w:val="-2"/>
          <w:sz w:val="16"/>
        </w:rPr>
        <w:t>245–257.</w:t>
      </w:r>
    </w:p>
    <w:p>
      <w:pPr>
        <w:pStyle w:val="ListParagraph"/>
        <w:spacing w:after="0" w:line="232" w:lineRule="auto"/>
        <w:jc w:val="both"/>
        <w:rPr>
          <w:sz w:val="16"/>
        </w:rPr>
        <w:sectPr>
          <w:type w:val="continuous"/>
          <w:pgSz w:w="11160" w:h="15480"/>
          <w:pgMar w:top="620" w:bottom="280" w:left="850" w:right="850"/>
          <w:cols w:num="2" w:equalWidth="0">
            <w:col w:w="4552" w:space="349"/>
            <w:col w:w="4559"/>
          </w:cols>
        </w:sectPr>
      </w:pPr>
    </w:p>
    <w:p>
      <w:pPr>
        <w:pStyle w:val="BodyText"/>
        <w:spacing w:before="34"/>
      </w:pPr>
    </w:p>
    <w:p>
      <w:pPr>
        <w:tabs>
          <w:tab w:pos="6607" w:val="left" w:leader="none"/>
        </w:tabs>
        <w:spacing w:before="1"/>
        <w:ind w:left="7" w:right="0" w:firstLine="0"/>
        <w:jc w:val="left"/>
        <w:rPr>
          <w:i/>
          <w:sz w:val="18"/>
        </w:rPr>
      </w:pPr>
      <w:r>
        <w:rPr>
          <w:sz w:val="24"/>
        </w:rPr>
        <w:t>288</w:t>
      </w:r>
      <w:r>
        <w:rPr>
          <w:spacing w:val="-3"/>
          <w:sz w:val="24"/>
        </w:rPr>
        <w:t> </w:t>
      </w:r>
      <w:r>
        <w:rPr>
          <w:rFonts w:ascii="Arial"/>
          <w:position w:val="3"/>
          <w:sz w:val="16"/>
        </w:rPr>
        <w:t>|</w:t>
      </w:r>
      <w:r>
        <w:rPr>
          <w:rFonts w:ascii="Arial"/>
          <w:spacing w:val="13"/>
          <w:position w:val="3"/>
          <w:sz w:val="16"/>
        </w:rPr>
        <w:t> </w:t>
      </w:r>
      <w:hyperlink r:id="rId6">
        <w:r>
          <w:rPr>
            <w:rFonts w:ascii="Arial"/>
            <w:spacing w:val="-2"/>
            <w:sz w:val="18"/>
          </w:rPr>
          <w:t>www.theneurologist.org</w:t>
        </w:r>
      </w:hyperlink>
      <w:r>
        <w:rPr>
          <w:rFonts w:ascii="Arial"/>
          <w:sz w:val="18"/>
        </w:rPr>
        <w:tab/>
      </w:r>
      <w:r>
        <w:rPr>
          <w:rFonts w:ascii="Arial"/>
          <w:position w:val="2"/>
          <w:sz w:val="13"/>
        </w:rPr>
        <w:t>r</w:t>
      </w:r>
      <w:r>
        <w:rPr>
          <w:rFonts w:ascii="Arial"/>
          <w:spacing w:val="36"/>
          <w:position w:val="2"/>
          <w:sz w:val="13"/>
        </w:rPr>
        <w:t> </w:t>
      </w:r>
      <w:r>
        <w:rPr>
          <w:i/>
          <w:sz w:val="18"/>
        </w:rPr>
        <w:t>2012</w:t>
      </w:r>
      <w:r>
        <w:rPr>
          <w:i/>
          <w:spacing w:val="28"/>
          <w:sz w:val="18"/>
        </w:rPr>
        <w:t> </w:t>
      </w:r>
      <w:r>
        <w:rPr>
          <w:i/>
          <w:sz w:val="18"/>
        </w:rPr>
        <w:t>Lippincott</w:t>
      </w:r>
      <w:r>
        <w:rPr>
          <w:i/>
          <w:spacing w:val="28"/>
          <w:sz w:val="18"/>
        </w:rPr>
        <w:t> </w:t>
      </w:r>
      <w:r>
        <w:rPr>
          <w:i/>
          <w:sz w:val="18"/>
        </w:rPr>
        <w:t>Williams</w:t>
      </w:r>
      <w:r>
        <w:rPr>
          <w:i/>
          <w:spacing w:val="29"/>
          <w:sz w:val="18"/>
        </w:rPr>
        <w:t> </w:t>
      </w:r>
      <w:r>
        <w:rPr>
          <w:i/>
          <w:sz w:val="18"/>
        </w:rPr>
        <w:t>&amp;</w:t>
      </w:r>
      <w:r>
        <w:rPr>
          <w:i/>
          <w:spacing w:val="27"/>
          <w:sz w:val="18"/>
        </w:rPr>
        <w:t> </w:t>
      </w:r>
      <w:r>
        <w:rPr>
          <w:i/>
          <w:spacing w:val="-2"/>
          <w:sz w:val="18"/>
        </w:rPr>
        <w:t>Wilkins</w:t>
      </w:r>
    </w:p>
    <w:p>
      <w:pPr>
        <w:spacing w:after="0"/>
        <w:jc w:val="left"/>
        <w:rPr>
          <w:i/>
          <w:sz w:val="18"/>
        </w:rPr>
        <w:sectPr>
          <w:type w:val="continuous"/>
          <w:pgSz w:w="11160" w:h="15480"/>
          <w:pgMar w:top="620" w:bottom="280" w:left="850" w:right="850"/>
        </w:sectPr>
      </w:pPr>
    </w:p>
    <w:p>
      <w:pPr>
        <w:tabs>
          <w:tab w:pos="6144" w:val="left" w:leader="none"/>
        </w:tabs>
        <w:spacing w:before="50"/>
        <w:ind w:left="7" w:right="0" w:firstLine="0"/>
        <w:jc w:val="left"/>
        <w:rPr>
          <w:rFonts w:ascii="Arial" w:hAnsi="Arial"/>
          <w:i/>
          <w:sz w:val="16"/>
        </w:rPr>
      </w:pPr>
      <w:r>
        <w:rPr>
          <w:rFonts w:ascii="Arial" w:hAnsi="Arial"/>
          <w:i/>
          <w:sz w:val="16"/>
        </w:rPr>
        <mc:AlternateContent>
          <mc:Choice Requires="wps">
            <w:drawing>
              <wp:anchor distT="0" distB="0" distL="0" distR="0" allowOverlap="1" layoutInCell="1" locked="0" behindDoc="0" simplePos="0" relativeHeight="15731712">
                <wp:simplePos x="0" y="0"/>
                <wp:positionH relativeFrom="page">
                  <wp:posOffset>544322</wp:posOffset>
                </wp:positionH>
                <wp:positionV relativeFrom="paragraph">
                  <wp:posOffset>170605</wp:posOffset>
                </wp:positionV>
                <wp:extent cx="5998210" cy="13335"/>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5998210" cy="13335"/>
                        </a:xfrm>
                        <a:custGeom>
                          <a:avLst/>
                          <a:gdLst/>
                          <a:ahLst/>
                          <a:cxnLst/>
                          <a:rect l="l" t="t" r="r" b="b"/>
                          <a:pathLst>
                            <a:path w="5998210" h="13335">
                              <a:moveTo>
                                <a:pt x="5997600" y="0"/>
                              </a:moveTo>
                              <a:lnTo>
                                <a:pt x="0" y="0"/>
                              </a:lnTo>
                              <a:lnTo>
                                <a:pt x="0" y="12960"/>
                              </a:lnTo>
                              <a:lnTo>
                                <a:pt x="5997600" y="12960"/>
                              </a:lnTo>
                              <a:lnTo>
                                <a:pt x="59976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860001pt;margin-top:13.4335pt;width:472.252pt;height:1.0205pt;mso-position-horizontal-relative:page;mso-position-vertical-relative:paragraph;z-index:15731712" id="docshape7" filled="true" fillcolor="#000000" stroked="false">
                <v:fill type="solid"/>
                <w10:wrap type="none"/>
              </v:rect>
            </w:pict>
          </mc:Fallback>
        </mc:AlternateContent>
      </w:r>
      <w:r>
        <w:rPr>
          <w:rFonts w:ascii="Arial" w:hAnsi="Arial"/>
          <w:i/>
          <w:sz w:val="16"/>
        </w:rPr>
        <w:t>The</w:t>
      </w:r>
      <w:r>
        <w:rPr>
          <w:rFonts w:ascii="Arial" w:hAnsi="Arial"/>
          <w:i/>
          <w:spacing w:val="-2"/>
          <w:sz w:val="16"/>
        </w:rPr>
        <w:t> </w:t>
      </w:r>
      <w:r>
        <w:rPr>
          <w:rFonts w:ascii="Arial" w:hAnsi="Arial"/>
          <w:i/>
          <w:sz w:val="16"/>
        </w:rPr>
        <w:t>Neurologist</w:t>
      </w:r>
      <w:r>
        <w:rPr>
          <w:rFonts w:ascii="Arial" w:hAnsi="Arial"/>
          <w:i/>
          <w:spacing w:val="20"/>
          <w:sz w:val="16"/>
        </w:rPr>
        <w:t> </w:t>
      </w:r>
      <w:r>
        <w:rPr>
          <w:position w:val="3"/>
          <w:sz w:val="12"/>
        </w:rPr>
        <w:t>●</w:t>
      </w:r>
      <w:r>
        <w:rPr>
          <w:spacing w:val="34"/>
          <w:position w:val="3"/>
          <w:sz w:val="12"/>
        </w:rPr>
        <w:t> </w:t>
      </w:r>
      <w:r>
        <w:rPr>
          <w:rFonts w:ascii="Arial" w:hAnsi="Arial"/>
          <w:sz w:val="16"/>
        </w:rPr>
        <w:t>Volume</w:t>
      </w:r>
      <w:r>
        <w:rPr>
          <w:rFonts w:ascii="Arial" w:hAnsi="Arial"/>
          <w:spacing w:val="-1"/>
          <w:sz w:val="16"/>
        </w:rPr>
        <w:t> </w:t>
      </w:r>
      <w:r>
        <w:rPr>
          <w:rFonts w:ascii="Arial" w:hAnsi="Arial"/>
          <w:sz w:val="16"/>
        </w:rPr>
        <w:t>18,</w:t>
      </w:r>
      <w:r>
        <w:rPr>
          <w:rFonts w:ascii="Arial" w:hAnsi="Arial"/>
          <w:spacing w:val="-2"/>
          <w:sz w:val="16"/>
        </w:rPr>
        <w:t> </w:t>
      </w:r>
      <w:r>
        <w:rPr>
          <w:rFonts w:ascii="Arial" w:hAnsi="Arial"/>
          <w:sz w:val="16"/>
        </w:rPr>
        <w:t>Number</w:t>
      </w:r>
      <w:r>
        <w:rPr>
          <w:rFonts w:ascii="Arial" w:hAnsi="Arial"/>
          <w:spacing w:val="-1"/>
          <w:sz w:val="16"/>
        </w:rPr>
        <w:t> </w:t>
      </w:r>
      <w:r>
        <w:rPr>
          <w:rFonts w:ascii="Arial" w:hAnsi="Arial"/>
          <w:sz w:val="16"/>
        </w:rPr>
        <w:t>5,</w:t>
      </w:r>
      <w:r>
        <w:rPr>
          <w:rFonts w:ascii="Arial" w:hAnsi="Arial"/>
          <w:spacing w:val="-2"/>
          <w:sz w:val="16"/>
        </w:rPr>
        <w:t> </w:t>
      </w:r>
      <w:r>
        <w:rPr>
          <w:rFonts w:ascii="Arial" w:hAnsi="Arial"/>
          <w:sz w:val="16"/>
        </w:rPr>
        <w:t>September</w:t>
      </w:r>
      <w:r>
        <w:rPr>
          <w:rFonts w:ascii="Arial" w:hAnsi="Arial"/>
          <w:spacing w:val="-1"/>
          <w:sz w:val="16"/>
        </w:rPr>
        <w:t> </w:t>
      </w:r>
      <w:r>
        <w:rPr>
          <w:rFonts w:ascii="Arial" w:hAnsi="Arial"/>
          <w:spacing w:val="-4"/>
          <w:sz w:val="16"/>
        </w:rPr>
        <w:t>2012</w:t>
      </w:r>
      <w:r>
        <w:rPr>
          <w:rFonts w:ascii="Arial" w:hAnsi="Arial"/>
          <w:sz w:val="16"/>
        </w:rPr>
        <w:tab/>
      </w:r>
      <w:r>
        <w:rPr>
          <w:rFonts w:ascii="Arial" w:hAnsi="Arial"/>
          <w:i/>
          <w:spacing w:val="-6"/>
          <w:sz w:val="16"/>
        </w:rPr>
        <w:t>Ataxia</w:t>
      </w:r>
      <w:r>
        <w:rPr>
          <w:rFonts w:ascii="Arial" w:hAnsi="Arial"/>
          <w:i/>
          <w:sz w:val="16"/>
        </w:rPr>
        <w:t> </w:t>
      </w:r>
      <w:r>
        <w:rPr>
          <w:rFonts w:ascii="Arial" w:hAnsi="Arial"/>
          <w:i/>
          <w:spacing w:val="-6"/>
          <w:sz w:val="16"/>
        </w:rPr>
        <w:t>with</w:t>
      </w:r>
      <w:r>
        <w:rPr>
          <w:rFonts w:ascii="Arial" w:hAnsi="Arial"/>
          <w:i/>
          <w:spacing w:val="2"/>
          <w:sz w:val="16"/>
        </w:rPr>
        <w:t> </w:t>
      </w:r>
      <w:r>
        <w:rPr>
          <w:rFonts w:ascii="Arial" w:hAnsi="Arial"/>
          <w:i/>
          <w:spacing w:val="-6"/>
          <w:sz w:val="16"/>
        </w:rPr>
        <w:t>PEO</w:t>
      </w:r>
      <w:r>
        <w:rPr>
          <w:rFonts w:ascii="Arial" w:hAnsi="Arial"/>
          <w:i/>
          <w:spacing w:val="2"/>
          <w:sz w:val="16"/>
        </w:rPr>
        <w:t> </w:t>
      </w:r>
      <w:r>
        <w:rPr>
          <w:rFonts w:ascii="Arial" w:hAnsi="Arial"/>
          <w:i/>
          <w:spacing w:val="-6"/>
          <w:sz w:val="16"/>
        </w:rPr>
        <w:t>Associated</w:t>
      </w:r>
      <w:r>
        <w:rPr>
          <w:rFonts w:ascii="Arial" w:hAnsi="Arial"/>
          <w:i/>
          <w:spacing w:val="1"/>
          <w:sz w:val="16"/>
        </w:rPr>
        <w:t> </w:t>
      </w:r>
      <w:r>
        <w:rPr>
          <w:rFonts w:ascii="Arial" w:hAnsi="Arial"/>
          <w:i/>
          <w:spacing w:val="-6"/>
          <w:sz w:val="16"/>
        </w:rPr>
        <w:t>with</w:t>
      </w:r>
      <w:r>
        <w:rPr>
          <w:rFonts w:ascii="Arial" w:hAnsi="Arial"/>
          <w:i/>
          <w:spacing w:val="1"/>
          <w:sz w:val="16"/>
        </w:rPr>
        <w:t> </w:t>
      </w:r>
      <w:r>
        <w:rPr>
          <w:rFonts w:ascii="Arial" w:hAnsi="Arial"/>
          <w:i/>
          <w:spacing w:val="-6"/>
          <w:sz w:val="16"/>
        </w:rPr>
        <w:t>POLG</w:t>
      </w:r>
      <w:r>
        <w:rPr>
          <w:rFonts w:ascii="Arial" w:hAnsi="Arial"/>
          <w:i/>
          <w:spacing w:val="1"/>
          <w:sz w:val="16"/>
        </w:rPr>
        <w:t> </w:t>
      </w:r>
      <w:r>
        <w:rPr>
          <w:rFonts w:ascii="Arial" w:hAnsi="Arial"/>
          <w:i/>
          <w:spacing w:val="-6"/>
          <w:sz w:val="16"/>
        </w:rPr>
        <w:t>Mutation</w:t>
      </w:r>
    </w:p>
    <w:p>
      <w:pPr>
        <w:pStyle w:val="BodyText"/>
        <w:spacing w:before="136"/>
        <w:rPr>
          <w:rFonts w:ascii="Arial"/>
          <w:i/>
          <w:sz w:val="20"/>
        </w:rPr>
      </w:pPr>
    </w:p>
    <w:p>
      <w:pPr>
        <w:pStyle w:val="BodyText"/>
        <w:spacing w:after="0"/>
        <w:rPr>
          <w:rFonts w:ascii="Arial"/>
          <w:i/>
          <w:sz w:val="20"/>
        </w:rPr>
        <w:sectPr>
          <w:pgSz w:w="11160" w:h="15480"/>
          <w:pgMar w:top="780" w:bottom="280" w:left="850" w:right="850"/>
        </w:sectPr>
      </w:pPr>
    </w:p>
    <w:p>
      <w:pPr>
        <w:pStyle w:val="ListParagraph"/>
        <w:numPr>
          <w:ilvl w:val="0"/>
          <w:numId w:val="1"/>
        </w:numPr>
        <w:tabs>
          <w:tab w:pos="286" w:val="left" w:leader="none"/>
        </w:tabs>
        <w:spacing w:line="232" w:lineRule="auto" w:before="79" w:after="0"/>
        <w:ind w:left="286" w:right="0" w:hanging="200"/>
        <w:jc w:val="both"/>
        <w:rPr>
          <w:sz w:val="16"/>
        </w:rPr>
      </w:pPr>
      <w:bookmarkStart w:name="_bookmark2" w:id="3"/>
      <w:bookmarkEnd w:id="3"/>
      <w:r>
        <w:rPr/>
      </w:r>
      <w:r>
        <w:rPr>
          <w:sz w:val="16"/>
        </w:rPr>
        <w:t>Tzoulis</w:t>
      </w:r>
      <w:r>
        <w:rPr>
          <w:spacing w:val="-7"/>
          <w:sz w:val="16"/>
        </w:rPr>
        <w:t> </w:t>
      </w:r>
      <w:r>
        <w:rPr>
          <w:sz w:val="16"/>
        </w:rPr>
        <w:t>C,</w:t>
      </w:r>
      <w:r>
        <w:rPr>
          <w:spacing w:val="-6"/>
          <w:sz w:val="16"/>
        </w:rPr>
        <w:t> </w:t>
      </w:r>
      <w:r>
        <w:rPr>
          <w:sz w:val="16"/>
        </w:rPr>
        <w:t>Engelsen</w:t>
      </w:r>
      <w:r>
        <w:rPr>
          <w:spacing w:val="-8"/>
          <w:sz w:val="16"/>
        </w:rPr>
        <w:t> </w:t>
      </w:r>
      <w:r>
        <w:rPr>
          <w:sz w:val="16"/>
        </w:rPr>
        <w:t>BA,</w:t>
      </w:r>
      <w:r>
        <w:rPr>
          <w:spacing w:val="-6"/>
          <w:sz w:val="16"/>
        </w:rPr>
        <w:t> </w:t>
      </w:r>
      <w:r>
        <w:rPr>
          <w:sz w:val="16"/>
        </w:rPr>
        <w:t>Telstad</w:t>
      </w:r>
      <w:r>
        <w:rPr>
          <w:spacing w:val="-6"/>
          <w:sz w:val="16"/>
        </w:rPr>
        <w:t> </w:t>
      </w:r>
      <w:r>
        <w:rPr>
          <w:sz w:val="16"/>
        </w:rPr>
        <w:t>W,</w:t>
      </w:r>
      <w:r>
        <w:rPr>
          <w:spacing w:val="-6"/>
          <w:sz w:val="16"/>
        </w:rPr>
        <w:t> </w:t>
      </w:r>
      <w:r>
        <w:rPr>
          <w:sz w:val="16"/>
        </w:rPr>
        <w:t>et</w:t>
      </w:r>
      <w:r>
        <w:rPr>
          <w:spacing w:val="-6"/>
          <w:sz w:val="16"/>
        </w:rPr>
        <w:t> </w:t>
      </w:r>
      <w:r>
        <w:rPr>
          <w:sz w:val="16"/>
        </w:rPr>
        <w:t>al.</w:t>
      </w:r>
      <w:r>
        <w:rPr>
          <w:spacing w:val="-5"/>
          <w:sz w:val="16"/>
        </w:rPr>
        <w:t> </w:t>
      </w:r>
      <w:r>
        <w:rPr>
          <w:sz w:val="16"/>
        </w:rPr>
        <w:t>The</w:t>
      </w:r>
      <w:r>
        <w:rPr>
          <w:spacing w:val="-6"/>
          <w:sz w:val="16"/>
        </w:rPr>
        <w:t> </w:t>
      </w:r>
      <w:r>
        <w:rPr>
          <w:sz w:val="16"/>
        </w:rPr>
        <w:t>spectrum</w:t>
      </w:r>
      <w:r>
        <w:rPr>
          <w:spacing w:val="-7"/>
          <w:sz w:val="16"/>
        </w:rPr>
        <w:t> </w:t>
      </w:r>
      <w:r>
        <w:rPr>
          <w:sz w:val="16"/>
        </w:rPr>
        <w:t>of</w:t>
      </w:r>
      <w:r>
        <w:rPr>
          <w:spacing w:val="-6"/>
          <w:sz w:val="16"/>
        </w:rPr>
        <w:t> </w:t>
      </w:r>
      <w:r>
        <w:rPr>
          <w:sz w:val="16"/>
        </w:rPr>
        <w:t>clinical</w:t>
      </w:r>
      <w:r>
        <w:rPr>
          <w:spacing w:val="40"/>
          <w:sz w:val="16"/>
        </w:rPr>
        <w:t> </w:t>
      </w:r>
      <w:r>
        <w:rPr>
          <w:sz w:val="16"/>
        </w:rPr>
        <w:t>disease</w:t>
      </w:r>
      <w:r>
        <w:rPr>
          <w:spacing w:val="40"/>
          <w:sz w:val="16"/>
        </w:rPr>
        <w:t> </w:t>
      </w:r>
      <w:r>
        <w:rPr>
          <w:sz w:val="16"/>
        </w:rPr>
        <w:t>caused</w:t>
      </w:r>
      <w:r>
        <w:rPr>
          <w:spacing w:val="40"/>
          <w:sz w:val="16"/>
        </w:rPr>
        <w:t> </w:t>
      </w:r>
      <w:r>
        <w:rPr>
          <w:sz w:val="16"/>
        </w:rPr>
        <w:t>by</w:t>
      </w:r>
      <w:r>
        <w:rPr>
          <w:spacing w:val="40"/>
          <w:sz w:val="16"/>
        </w:rPr>
        <w:t> </w:t>
      </w:r>
      <w:r>
        <w:rPr>
          <w:sz w:val="16"/>
        </w:rPr>
        <w:t>the</w:t>
      </w:r>
      <w:r>
        <w:rPr>
          <w:spacing w:val="40"/>
          <w:sz w:val="16"/>
        </w:rPr>
        <w:t> </w:t>
      </w:r>
      <w:r>
        <w:rPr>
          <w:sz w:val="16"/>
        </w:rPr>
        <w:t>A467T</w:t>
      </w:r>
      <w:r>
        <w:rPr>
          <w:spacing w:val="40"/>
          <w:sz w:val="16"/>
        </w:rPr>
        <w:t> </w:t>
      </w:r>
      <w:r>
        <w:rPr>
          <w:sz w:val="16"/>
        </w:rPr>
        <w:t>and</w:t>
      </w:r>
      <w:r>
        <w:rPr>
          <w:spacing w:val="40"/>
          <w:sz w:val="16"/>
        </w:rPr>
        <w:t> </w:t>
      </w:r>
      <w:r>
        <w:rPr>
          <w:sz w:val="16"/>
        </w:rPr>
        <w:t>W748S</w:t>
      </w:r>
      <w:r>
        <w:rPr>
          <w:spacing w:val="40"/>
          <w:sz w:val="16"/>
        </w:rPr>
        <w:t> </w:t>
      </w:r>
      <w:r>
        <w:rPr>
          <w:sz w:val="16"/>
        </w:rPr>
        <w:t>POLG</w:t>
      </w:r>
      <w:r>
        <w:rPr>
          <w:spacing w:val="40"/>
          <w:sz w:val="16"/>
        </w:rPr>
        <w:t> </w:t>
      </w:r>
      <w:r>
        <w:rPr>
          <w:sz w:val="16"/>
        </w:rPr>
        <w:t>mutations:</w:t>
      </w:r>
      <w:r>
        <w:rPr>
          <w:spacing w:val="80"/>
          <w:sz w:val="16"/>
        </w:rPr>
        <w:t> </w:t>
      </w:r>
      <w:bookmarkStart w:name="_bookmark3" w:id="4"/>
      <w:bookmarkEnd w:id="4"/>
      <w:r>
        <w:rPr>
          <w:sz w:val="16"/>
        </w:rPr>
        <w:t>a</w:t>
      </w:r>
      <w:r>
        <w:rPr>
          <w:sz w:val="16"/>
        </w:rPr>
        <w:t> study of 26 cases. </w:t>
      </w:r>
      <w:r>
        <w:rPr>
          <w:i/>
          <w:sz w:val="16"/>
        </w:rPr>
        <w:t>Brain</w:t>
      </w:r>
      <w:r>
        <w:rPr>
          <w:sz w:val="16"/>
        </w:rPr>
        <w:t>. 2006;129:1685–1692.</w:t>
      </w:r>
    </w:p>
    <w:p>
      <w:pPr>
        <w:pStyle w:val="ListParagraph"/>
        <w:numPr>
          <w:ilvl w:val="0"/>
          <w:numId w:val="1"/>
        </w:numPr>
        <w:tabs>
          <w:tab w:pos="286" w:val="left" w:leader="none"/>
        </w:tabs>
        <w:spacing w:line="232" w:lineRule="auto" w:before="2" w:after="0"/>
        <w:ind w:left="286" w:right="0" w:hanging="200"/>
        <w:jc w:val="both"/>
        <w:rPr>
          <w:sz w:val="16"/>
        </w:rPr>
      </w:pPr>
      <w:r>
        <w:rPr>
          <w:sz w:val="16"/>
        </w:rPr>
        <w:t>Van</w:t>
      </w:r>
      <w:r>
        <w:rPr>
          <w:spacing w:val="-2"/>
          <w:sz w:val="16"/>
        </w:rPr>
        <w:t> </w:t>
      </w:r>
      <w:r>
        <w:rPr>
          <w:sz w:val="16"/>
        </w:rPr>
        <w:t>Goethem</w:t>
      </w:r>
      <w:r>
        <w:rPr>
          <w:spacing w:val="-2"/>
          <w:sz w:val="16"/>
        </w:rPr>
        <w:t> </w:t>
      </w:r>
      <w:r>
        <w:rPr>
          <w:sz w:val="16"/>
        </w:rPr>
        <w:t>G,</w:t>
      </w:r>
      <w:r>
        <w:rPr>
          <w:spacing w:val="-1"/>
          <w:sz w:val="16"/>
        </w:rPr>
        <w:t> </w:t>
      </w:r>
      <w:r>
        <w:rPr>
          <w:sz w:val="16"/>
        </w:rPr>
        <w:t>Dermaut</w:t>
      </w:r>
      <w:r>
        <w:rPr>
          <w:spacing w:val="-2"/>
          <w:sz w:val="16"/>
        </w:rPr>
        <w:t> </w:t>
      </w:r>
      <w:r>
        <w:rPr>
          <w:sz w:val="16"/>
        </w:rPr>
        <w:t>B,</w:t>
      </w:r>
      <w:r>
        <w:rPr>
          <w:spacing w:val="-1"/>
          <w:sz w:val="16"/>
        </w:rPr>
        <w:t> </w:t>
      </w:r>
      <w:r>
        <w:rPr>
          <w:sz w:val="16"/>
        </w:rPr>
        <w:t>Lofgren</w:t>
      </w:r>
      <w:r>
        <w:rPr>
          <w:spacing w:val="-2"/>
          <w:sz w:val="16"/>
        </w:rPr>
        <w:t> </w:t>
      </w:r>
      <w:r>
        <w:rPr>
          <w:sz w:val="16"/>
        </w:rPr>
        <w:t>A,</w:t>
      </w:r>
      <w:r>
        <w:rPr>
          <w:spacing w:val="-1"/>
          <w:sz w:val="16"/>
        </w:rPr>
        <w:t> </w:t>
      </w:r>
      <w:r>
        <w:rPr>
          <w:sz w:val="16"/>
        </w:rPr>
        <w:t>et</w:t>
      </w:r>
      <w:r>
        <w:rPr>
          <w:spacing w:val="-2"/>
          <w:sz w:val="16"/>
        </w:rPr>
        <w:t> </w:t>
      </w:r>
      <w:r>
        <w:rPr>
          <w:sz w:val="16"/>
        </w:rPr>
        <w:t>al.</w:t>
      </w:r>
      <w:r>
        <w:rPr>
          <w:spacing w:val="-2"/>
          <w:sz w:val="16"/>
        </w:rPr>
        <w:t> </w:t>
      </w:r>
      <w:r>
        <w:rPr>
          <w:sz w:val="16"/>
        </w:rPr>
        <w:t>Mutation</w:t>
      </w:r>
      <w:r>
        <w:rPr>
          <w:spacing w:val="-2"/>
          <w:sz w:val="16"/>
        </w:rPr>
        <w:t> </w:t>
      </w:r>
      <w:r>
        <w:rPr>
          <w:sz w:val="16"/>
        </w:rPr>
        <w:t>of</w:t>
      </w:r>
      <w:r>
        <w:rPr>
          <w:spacing w:val="-1"/>
          <w:sz w:val="16"/>
        </w:rPr>
        <w:t> </w:t>
      </w:r>
      <w:r>
        <w:rPr>
          <w:sz w:val="16"/>
        </w:rPr>
        <w:t>POLG</w:t>
      </w:r>
      <w:r>
        <w:rPr>
          <w:spacing w:val="40"/>
          <w:sz w:val="16"/>
        </w:rPr>
        <w:t> </w:t>
      </w:r>
      <w:r>
        <w:rPr>
          <w:sz w:val="16"/>
        </w:rPr>
        <w:t>is associated with progressive external ophthalmoplegia charac-</w:t>
      </w:r>
      <w:r>
        <w:rPr>
          <w:spacing w:val="40"/>
          <w:sz w:val="16"/>
        </w:rPr>
        <w:t> </w:t>
      </w:r>
      <w:bookmarkStart w:name="_bookmark4" w:id="5"/>
      <w:bookmarkEnd w:id="5"/>
      <w:r>
        <w:rPr>
          <w:sz w:val="16"/>
        </w:rPr>
        <w:t>terized</w:t>
      </w:r>
      <w:r>
        <w:rPr>
          <w:sz w:val="16"/>
        </w:rPr>
        <w:t> by mtDNA deletions. </w:t>
      </w:r>
      <w:r>
        <w:rPr>
          <w:i/>
          <w:sz w:val="16"/>
        </w:rPr>
        <w:t>Nat Genet</w:t>
      </w:r>
      <w:r>
        <w:rPr>
          <w:sz w:val="16"/>
        </w:rPr>
        <w:t>. 2001;28:211–212.</w:t>
      </w:r>
    </w:p>
    <w:p>
      <w:pPr>
        <w:pStyle w:val="ListParagraph"/>
        <w:numPr>
          <w:ilvl w:val="0"/>
          <w:numId w:val="1"/>
        </w:numPr>
        <w:tabs>
          <w:tab w:pos="286" w:val="left" w:leader="none"/>
        </w:tabs>
        <w:spacing w:line="232" w:lineRule="auto" w:before="3" w:after="0"/>
        <w:ind w:left="286" w:right="0" w:hanging="200"/>
        <w:jc w:val="both"/>
        <w:rPr>
          <w:sz w:val="16"/>
        </w:rPr>
      </w:pPr>
      <w:r>
        <w:rPr>
          <w:sz w:val="16"/>
        </w:rPr>
        <w:t>Kaukonen J, Juselius JK, Tiranti V, et al. Role of </w:t>
      </w:r>
      <w:r>
        <w:rPr>
          <w:sz w:val="16"/>
        </w:rPr>
        <w:t>adenine</w:t>
      </w:r>
      <w:r>
        <w:rPr>
          <w:spacing w:val="40"/>
          <w:sz w:val="16"/>
        </w:rPr>
        <w:t> </w:t>
      </w:r>
      <w:r>
        <w:rPr>
          <w:sz w:val="16"/>
        </w:rPr>
        <w:t>nucleotide translocator 1 in mtDNA maintenance. </w:t>
      </w:r>
      <w:r>
        <w:rPr>
          <w:i/>
          <w:sz w:val="16"/>
        </w:rPr>
        <w:t>Science</w:t>
      </w:r>
      <w:r>
        <w:rPr>
          <w:sz w:val="16"/>
        </w:rPr>
        <w:t>.</w:t>
      </w:r>
      <w:r>
        <w:rPr>
          <w:spacing w:val="40"/>
          <w:sz w:val="16"/>
        </w:rPr>
        <w:t> </w:t>
      </w:r>
      <w:bookmarkStart w:name="_bookmark5" w:id="6"/>
      <w:bookmarkEnd w:id="6"/>
      <w:r>
        <w:rPr>
          <w:spacing w:val="-2"/>
          <w:sz w:val="16"/>
        </w:rPr>
        <w:t>2000;</w:t>
      </w:r>
      <w:r>
        <w:rPr>
          <w:spacing w:val="-2"/>
          <w:sz w:val="16"/>
        </w:rPr>
        <w:t>289:782–785.</w:t>
      </w:r>
    </w:p>
    <w:p>
      <w:pPr>
        <w:pStyle w:val="ListParagraph"/>
        <w:numPr>
          <w:ilvl w:val="0"/>
          <w:numId w:val="1"/>
        </w:numPr>
        <w:tabs>
          <w:tab w:pos="286" w:val="left" w:leader="none"/>
        </w:tabs>
        <w:spacing w:line="232" w:lineRule="auto" w:before="2" w:after="0"/>
        <w:ind w:left="286" w:right="0" w:hanging="200"/>
        <w:jc w:val="both"/>
        <w:rPr>
          <w:sz w:val="16"/>
        </w:rPr>
      </w:pPr>
      <w:r>
        <w:rPr>
          <w:sz w:val="16"/>
        </w:rPr>
        <w:t>Spelbrink JN, Li FY, Tiranti V, et al. Human mitochondrial </w:t>
      </w:r>
      <w:r>
        <w:rPr>
          <w:sz w:val="16"/>
        </w:rPr>
        <w:t>DNA</w:t>
      </w:r>
      <w:r>
        <w:rPr>
          <w:spacing w:val="40"/>
          <w:sz w:val="16"/>
        </w:rPr>
        <w:t> </w:t>
      </w:r>
      <w:r>
        <w:rPr>
          <w:sz w:val="16"/>
        </w:rPr>
        <w:t>deletions</w:t>
      </w:r>
      <w:r>
        <w:rPr>
          <w:spacing w:val="-4"/>
          <w:sz w:val="16"/>
        </w:rPr>
        <w:t> </w:t>
      </w:r>
      <w:r>
        <w:rPr>
          <w:sz w:val="16"/>
        </w:rPr>
        <w:t>associated</w:t>
      </w:r>
      <w:r>
        <w:rPr>
          <w:spacing w:val="-4"/>
          <w:sz w:val="16"/>
        </w:rPr>
        <w:t> </w:t>
      </w:r>
      <w:r>
        <w:rPr>
          <w:sz w:val="16"/>
        </w:rPr>
        <w:t>with</w:t>
      </w:r>
      <w:r>
        <w:rPr>
          <w:spacing w:val="-4"/>
          <w:sz w:val="16"/>
        </w:rPr>
        <w:t> </w:t>
      </w:r>
      <w:r>
        <w:rPr>
          <w:sz w:val="16"/>
        </w:rPr>
        <w:t>mutations</w:t>
      </w:r>
      <w:r>
        <w:rPr>
          <w:spacing w:val="-4"/>
          <w:sz w:val="16"/>
        </w:rPr>
        <w:t> </w:t>
      </w:r>
      <w:r>
        <w:rPr>
          <w:sz w:val="16"/>
        </w:rPr>
        <w:t>in</w:t>
      </w:r>
      <w:r>
        <w:rPr>
          <w:spacing w:val="-3"/>
          <w:sz w:val="16"/>
        </w:rPr>
        <w:t> </w:t>
      </w:r>
      <w:r>
        <w:rPr>
          <w:sz w:val="16"/>
        </w:rPr>
        <w:t>the</w:t>
      </w:r>
      <w:r>
        <w:rPr>
          <w:spacing w:val="-4"/>
          <w:sz w:val="16"/>
        </w:rPr>
        <w:t> </w:t>
      </w:r>
      <w:r>
        <w:rPr>
          <w:sz w:val="16"/>
        </w:rPr>
        <w:t>gene</w:t>
      </w:r>
      <w:r>
        <w:rPr>
          <w:spacing w:val="-4"/>
          <w:sz w:val="16"/>
        </w:rPr>
        <w:t> </w:t>
      </w:r>
      <w:r>
        <w:rPr>
          <w:sz w:val="16"/>
        </w:rPr>
        <w:t>encoding</w:t>
      </w:r>
      <w:r>
        <w:rPr>
          <w:spacing w:val="-4"/>
          <w:sz w:val="16"/>
        </w:rPr>
        <w:t> </w:t>
      </w:r>
      <w:r>
        <w:rPr>
          <w:sz w:val="16"/>
        </w:rPr>
        <w:t>Twinkle,</w:t>
      </w:r>
      <w:r>
        <w:rPr>
          <w:spacing w:val="40"/>
          <w:sz w:val="16"/>
        </w:rPr>
        <w:t> </w:t>
      </w:r>
      <w:r>
        <w:rPr>
          <w:sz w:val="16"/>
        </w:rPr>
        <w:t>a phage T7 gene 4-like protein localized in mitochondria. </w:t>
      </w:r>
      <w:r>
        <w:rPr>
          <w:i/>
          <w:sz w:val="16"/>
        </w:rPr>
        <w:t>Nat</w:t>
      </w:r>
      <w:r>
        <w:rPr>
          <w:i/>
          <w:spacing w:val="40"/>
          <w:sz w:val="16"/>
        </w:rPr>
        <w:t> </w:t>
      </w:r>
      <w:bookmarkStart w:name="_bookmark6" w:id="7"/>
      <w:bookmarkEnd w:id="7"/>
      <w:r>
        <w:rPr>
          <w:i/>
          <w:sz w:val="16"/>
        </w:rPr>
        <w:t>Gene</w:t>
      </w:r>
      <w:r>
        <w:rPr>
          <w:i/>
          <w:sz w:val="16"/>
        </w:rPr>
        <w:t>t</w:t>
      </w:r>
      <w:r>
        <w:rPr>
          <w:sz w:val="16"/>
        </w:rPr>
        <w:t>. 2001;28:223–231.</w:t>
      </w:r>
    </w:p>
    <w:p>
      <w:pPr>
        <w:pStyle w:val="ListParagraph"/>
        <w:numPr>
          <w:ilvl w:val="0"/>
          <w:numId w:val="1"/>
        </w:numPr>
        <w:tabs>
          <w:tab w:pos="286" w:val="left" w:leader="none"/>
        </w:tabs>
        <w:spacing w:line="232" w:lineRule="auto" w:before="4" w:after="0"/>
        <w:ind w:left="286" w:right="0" w:hanging="200"/>
        <w:jc w:val="both"/>
        <w:rPr>
          <w:sz w:val="16"/>
        </w:rPr>
      </w:pPr>
      <w:r>
        <w:rPr>
          <w:sz w:val="16"/>
        </w:rPr>
        <w:t>Yakubovskaya E, Chen Z, Carrodeguas JA, et al. </w:t>
      </w:r>
      <w:r>
        <w:rPr>
          <w:sz w:val="16"/>
        </w:rPr>
        <w:t>Functional</w:t>
      </w:r>
      <w:r>
        <w:rPr>
          <w:spacing w:val="40"/>
          <w:sz w:val="16"/>
        </w:rPr>
        <w:t> </w:t>
      </w:r>
      <w:r>
        <w:rPr>
          <w:sz w:val="16"/>
        </w:rPr>
        <w:t>human mitochondrial DNA polymerase gamma forms a hetero-</w:t>
      </w:r>
      <w:r>
        <w:rPr>
          <w:spacing w:val="40"/>
          <w:sz w:val="16"/>
        </w:rPr>
        <w:t> </w:t>
      </w:r>
      <w:bookmarkStart w:name="_bookmark7" w:id="8"/>
      <w:bookmarkEnd w:id="8"/>
      <w:r>
        <w:rPr>
          <w:sz w:val="16"/>
        </w:rPr>
        <w:t>trimer.</w:t>
      </w:r>
      <w:r>
        <w:rPr>
          <w:sz w:val="16"/>
        </w:rPr>
        <w:t> </w:t>
      </w:r>
      <w:r>
        <w:rPr>
          <w:i/>
          <w:sz w:val="16"/>
        </w:rPr>
        <w:t>J Biol Chem</w:t>
      </w:r>
      <w:r>
        <w:rPr>
          <w:sz w:val="16"/>
        </w:rPr>
        <w:t>. 2005;281:374–382.</w:t>
      </w:r>
    </w:p>
    <w:p>
      <w:pPr>
        <w:pStyle w:val="ListParagraph"/>
        <w:numPr>
          <w:ilvl w:val="0"/>
          <w:numId w:val="1"/>
        </w:numPr>
        <w:tabs>
          <w:tab w:pos="286" w:val="left" w:leader="none"/>
        </w:tabs>
        <w:spacing w:line="232" w:lineRule="auto" w:before="2" w:after="0"/>
        <w:ind w:left="286" w:right="0" w:hanging="200"/>
        <w:jc w:val="both"/>
        <w:rPr>
          <w:sz w:val="16"/>
        </w:rPr>
      </w:pPr>
      <w:r>
        <w:rPr>
          <w:sz w:val="16"/>
        </w:rPr>
        <w:t>Ropp PA, Copeland WC. Cloning and characterization of </w:t>
      </w:r>
      <w:r>
        <w:rPr>
          <w:sz w:val="16"/>
        </w:rPr>
        <w:t>the</w:t>
      </w:r>
      <w:r>
        <w:rPr>
          <w:spacing w:val="40"/>
          <w:sz w:val="16"/>
        </w:rPr>
        <w:t> </w:t>
      </w:r>
      <w:r>
        <w:rPr>
          <w:sz w:val="16"/>
        </w:rPr>
        <w:t>human</w:t>
      </w:r>
      <w:r>
        <w:rPr>
          <w:spacing w:val="-10"/>
          <w:sz w:val="16"/>
        </w:rPr>
        <w:t> </w:t>
      </w:r>
      <w:r>
        <w:rPr>
          <w:sz w:val="16"/>
        </w:rPr>
        <w:t>mitochondrial</w:t>
      </w:r>
      <w:r>
        <w:rPr>
          <w:spacing w:val="-10"/>
          <w:sz w:val="16"/>
        </w:rPr>
        <w:t> </w:t>
      </w:r>
      <w:r>
        <w:rPr>
          <w:sz w:val="16"/>
        </w:rPr>
        <w:t>DNA</w:t>
      </w:r>
      <w:r>
        <w:rPr>
          <w:spacing w:val="-10"/>
          <w:sz w:val="16"/>
        </w:rPr>
        <w:t> </w:t>
      </w:r>
      <w:r>
        <w:rPr>
          <w:sz w:val="16"/>
        </w:rPr>
        <w:t>polymerase,</w:t>
      </w:r>
      <w:r>
        <w:rPr>
          <w:spacing w:val="-10"/>
          <w:sz w:val="16"/>
        </w:rPr>
        <w:t> </w:t>
      </w:r>
      <w:r>
        <w:rPr>
          <w:sz w:val="16"/>
        </w:rPr>
        <w:t>DNA</w:t>
      </w:r>
      <w:r>
        <w:rPr>
          <w:spacing w:val="-10"/>
          <w:sz w:val="16"/>
        </w:rPr>
        <w:t> </w:t>
      </w:r>
      <w:r>
        <w:rPr>
          <w:sz w:val="16"/>
        </w:rPr>
        <w:t>polymerase</w:t>
      </w:r>
      <w:r>
        <w:rPr>
          <w:spacing w:val="-10"/>
          <w:sz w:val="16"/>
        </w:rPr>
        <w:t> </w:t>
      </w:r>
      <w:r>
        <w:rPr>
          <w:sz w:val="16"/>
        </w:rPr>
        <w:t>gamma.</w:t>
      </w:r>
      <w:r>
        <w:rPr>
          <w:spacing w:val="40"/>
          <w:sz w:val="16"/>
        </w:rPr>
        <w:t> </w:t>
      </w:r>
      <w:bookmarkStart w:name="_bookmark8" w:id="9"/>
      <w:bookmarkEnd w:id="9"/>
      <w:r>
        <w:rPr>
          <w:sz w:val="16"/>
        </w:rPr>
      </w:r>
      <w:r>
        <w:rPr>
          <w:i/>
          <w:sz w:val="16"/>
        </w:rPr>
        <w:t>Genomics</w:t>
      </w:r>
      <w:r>
        <w:rPr>
          <w:sz w:val="16"/>
        </w:rPr>
        <w:t>. 1996;36:449–458.</w:t>
      </w:r>
    </w:p>
    <w:p>
      <w:pPr>
        <w:pStyle w:val="ListParagraph"/>
        <w:numPr>
          <w:ilvl w:val="0"/>
          <w:numId w:val="1"/>
        </w:numPr>
        <w:tabs>
          <w:tab w:pos="286" w:val="left" w:leader="none"/>
        </w:tabs>
        <w:spacing w:line="232" w:lineRule="auto" w:before="4" w:after="0"/>
        <w:ind w:left="286" w:right="0" w:hanging="200"/>
        <w:jc w:val="both"/>
        <w:rPr>
          <w:sz w:val="16"/>
        </w:rPr>
      </w:pPr>
      <w:r>
        <w:rPr>
          <w:sz w:val="16"/>
        </w:rPr>
        <w:t>Wong LJ, Naviaux RK, Brunetti-Pierri N, et al. Mutations </w:t>
      </w:r>
      <w:r>
        <w:rPr>
          <w:sz w:val="16"/>
        </w:rPr>
        <w:t>of</w:t>
      </w:r>
      <w:r>
        <w:rPr>
          <w:spacing w:val="40"/>
          <w:sz w:val="16"/>
        </w:rPr>
        <w:t> </w:t>
      </w:r>
      <w:r>
        <w:rPr>
          <w:sz w:val="16"/>
        </w:rPr>
        <w:t>mitochondrial DNA polymerase gamma A are a frequent cause of</w:t>
      </w:r>
      <w:r>
        <w:rPr>
          <w:spacing w:val="40"/>
          <w:sz w:val="16"/>
        </w:rPr>
        <w:t> </w:t>
      </w:r>
      <w:r>
        <w:rPr>
          <w:sz w:val="16"/>
        </w:rPr>
        <w:t>autosomal dominant or recessive progressive external ophthalmo-</w:t>
      </w:r>
      <w:r>
        <w:rPr>
          <w:spacing w:val="40"/>
          <w:sz w:val="16"/>
        </w:rPr>
        <w:t> </w:t>
      </w:r>
      <w:r>
        <w:rPr>
          <w:sz w:val="16"/>
        </w:rPr>
        <w:t>plegia. </w:t>
      </w:r>
      <w:r>
        <w:rPr>
          <w:i/>
          <w:sz w:val="16"/>
        </w:rPr>
        <w:t>Ann Neurol</w:t>
      </w:r>
      <w:r>
        <w:rPr>
          <w:sz w:val="16"/>
        </w:rPr>
        <w:t>. 2002;52:211–219.</w:t>
      </w:r>
    </w:p>
    <w:p>
      <w:pPr>
        <w:pStyle w:val="ListParagraph"/>
        <w:numPr>
          <w:ilvl w:val="0"/>
          <w:numId w:val="1"/>
        </w:numPr>
        <w:tabs>
          <w:tab w:pos="286" w:val="left" w:leader="none"/>
        </w:tabs>
        <w:spacing w:line="235" w:lineRule="auto" w:before="1" w:after="0"/>
        <w:ind w:left="286" w:right="0" w:hanging="200"/>
        <w:jc w:val="both"/>
        <w:rPr>
          <w:sz w:val="16"/>
        </w:rPr>
      </w:pPr>
      <w:r>
        <w:rPr>
          <w:sz w:val="16"/>
        </w:rPr>
        <w:t>Van Goethem G, Martin JJ, Dermaut B, et al. Recessive </w:t>
      </w:r>
      <w:r>
        <w:rPr>
          <w:sz w:val="16"/>
        </w:rPr>
        <w:t>POLG</w:t>
      </w:r>
      <w:r>
        <w:rPr>
          <w:spacing w:val="40"/>
          <w:sz w:val="16"/>
        </w:rPr>
        <w:t> </w:t>
      </w:r>
      <w:r>
        <w:rPr>
          <w:sz w:val="16"/>
        </w:rPr>
        <w:t>mutations presenting with sensory and ataxic neuropathy in</w:t>
      </w:r>
      <w:r>
        <w:rPr>
          <w:spacing w:val="40"/>
          <w:sz w:val="16"/>
        </w:rPr>
        <w:t> </w:t>
      </w:r>
      <w:r>
        <w:rPr>
          <w:sz w:val="16"/>
        </w:rPr>
        <w:t>compound heterozygote patients with progressive external oph-</w:t>
      </w:r>
      <w:r>
        <w:rPr>
          <w:spacing w:val="40"/>
          <w:sz w:val="16"/>
        </w:rPr>
        <w:t> </w:t>
      </w:r>
      <w:bookmarkStart w:name="_bookmark9" w:id="10"/>
      <w:bookmarkEnd w:id="10"/>
      <w:r>
        <w:rPr>
          <w:sz w:val="16"/>
        </w:rPr>
        <w:t>thalmop</w:t>
      </w:r>
      <w:r>
        <w:rPr>
          <w:sz w:val="16"/>
        </w:rPr>
        <w:t>legia. </w:t>
      </w:r>
      <w:r>
        <w:rPr>
          <w:i/>
          <w:sz w:val="16"/>
        </w:rPr>
        <w:t>Neuromuscul Disord</w:t>
      </w:r>
      <w:r>
        <w:rPr>
          <w:sz w:val="16"/>
        </w:rPr>
        <w:t>. 2003;13:133–142.</w:t>
      </w:r>
    </w:p>
    <w:p>
      <w:pPr>
        <w:pStyle w:val="ListParagraph"/>
        <w:numPr>
          <w:ilvl w:val="0"/>
          <w:numId w:val="1"/>
        </w:numPr>
        <w:tabs>
          <w:tab w:pos="286" w:val="left" w:leader="none"/>
        </w:tabs>
        <w:spacing w:line="232" w:lineRule="auto" w:before="0" w:after="0"/>
        <w:ind w:left="286" w:right="0" w:hanging="279"/>
        <w:jc w:val="both"/>
        <w:rPr>
          <w:sz w:val="16"/>
        </w:rPr>
      </w:pPr>
      <w:r>
        <w:rPr>
          <w:sz w:val="16"/>
        </w:rPr>
        <w:t>Blackwood W, Buxton PH, Cumings JN, et al. Diffuse </w:t>
      </w:r>
      <w:r>
        <w:rPr>
          <w:sz w:val="16"/>
        </w:rPr>
        <w:t>cerebral</w:t>
      </w:r>
      <w:r>
        <w:rPr>
          <w:spacing w:val="40"/>
          <w:sz w:val="16"/>
        </w:rPr>
        <w:t> </w:t>
      </w:r>
      <w:r>
        <w:rPr>
          <w:sz w:val="16"/>
        </w:rPr>
        <w:t>degeneration in infancy (Alpers’ disease). </w:t>
      </w:r>
      <w:r>
        <w:rPr>
          <w:i/>
          <w:sz w:val="16"/>
        </w:rPr>
        <w:t>Arch Dis Child</w:t>
      </w:r>
      <w:r>
        <w:rPr>
          <w:sz w:val="16"/>
        </w:rPr>
        <w:t>.</w:t>
      </w:r>
      <w:r>
        <w:rPr>
          <w:spacing w:val="40"/>
          <w:sz w:val="16"/>
        </w:rPr>
        <w:t> </w:t>
      </w:r>
      <w:bookmarkStart w:name="_bookmark10" w:id="11"/>
      <w:bookmarkEnd w:id="11"/>
      <w:r>
        <w:rPr>
          <w:spacing w:val="-2"/>
          <w:sz w:val="16"/>
        </w:rPr>
        <w:t>1963;</w:t>
      </w:r>
      <w:r>
        <w:rPr>
          <w:spacing w:val="-2"/>
          <w:sz w:val="16"/>
        </w:rPr>
        <w:t>38:193–204.</w:t>
      </w:r>
    </w:p>
    <w:p>
      <w:pPr>
        <w:pStyle w:val="ListParagraph"/>
        <w:numPr>
          <w:ilvl w:val="0"/>
          <w:numId w:val="1"/>
        </w:numPr>
        <w:tabs>
          <w:tab w:pos="286" w:val="left" w:leader="none"/>
        </w:tabs>
        <w:spacing w:line="235" w:lineRule="auto" w:before="0" w:after="0"/>
        <w:ind w:left="286" w:right="0" w:hanging="279"/>
        <w:jc w:val="both"/>
        <w:rPr>
          <w:sz w:val="16"/>
        </w:rPr>
      </w:pPr>
      <w:r>
        <w:rPr>
          <w:sz w:val="16"/>
        </w:rPr>
        <w:t>Huttenlocher</w:t>
      </w:r>
      <w:r>
        <w:rPr>
          <w:spacing w:val="-4"/>
          <w:sz w:val="16"/>
        </w:rPr>
        <w:t> </w:t>
      </w:r>
      <w:r>
        <w:rPr>
          <w:sz w:val="16"/>
        </w:rPr>
        <w:t>PR,</w:t>
      </w:r>
      <w:r>
        <w:rPr>
          <w:spacing w:val="-4"/>
          <w:sz w:val="16"/>
        </w:rPr>
        <w:t> </w:t>
      </w:r>
      <w:r>
        <w:rPr>
          <w:sz w:val="16"/>
        </w:rPr>
        <w:t>Solitare</w:t>
      </w:r>
      <w:r>
        <w:rPr>
          <w:spacing w:val="-6"/>
          <w:sz w:val="16"/>
        </w:rPr>
        <w:t> </w:t>
      </w:r>
      <w:r>
        <w:rPr>
          <w:sz w:val="16"/>
        </w:rPr>
        <w:t>GB,</w:t>
      </w:r>
      <w:r>
        <w:rPr>
          <w:spacing w:val="-4"/>
          <w:sz w:val="16"/>
        </w:rPr>
        <w:t> </w:t>
      </w:r>
      <w:r>
        <w:rPr>
          <w:sz w:val="16"/>
        </w:rPr>
        <w:t>Adams</w:t>
      </w:r>
      <w:r>
        <w:rPr>
          <w:spacing w:val="-6"/>
          <w:sz w:val="16"/>
        </w:rPr>
        <w:t> </w:t>
      </w:r>
      <w:r>
        <w:rPr>
          <w:sz w:val="16"/>
        </w:rPr>
        <w:t>G.</w:t>
      </w:r>
      <w:r>
        <w:rPr>
          <w:spacing w:val="-4"/>
          <w:sz w:val="16"/>
        </w:rPr>
        <w:t> </w:t>
      </w:r>
      <w:r>
        <w:rPr>
          <w:sz w:val="16"/>
        </w:rPr>
        <w:t>Infantile</w:t>
      </w:r>
      <w:r>
        <w:rPr>
          <w:spacing w:val="-5"/>
          <w:sz w:val="16"/>
        </w:rPr>
        <w:t> </w:t>
      </w:r>
      <w:r>
        <w:rPr>
          <w:sz w:val="16"/>
        </w:rPr>
        <w:t>diffuse</w:t>
      </w:r>
      <w:r>
        <w:rPr>
          <w:spacing w:val="-5"/>
          <w:sz w:val="16"/>
        </w:rPr>
        <w:t> </w:t>
      </w:r>
      <w:r>
        <w:rPr>
          <w:sz w:val="16"/>
        </w:rPr>
        <w:t>cerebral</w:t>
      </w:r>
      <w:r>
        <w:rPr>
          <w:spacing w:val="40"/>
          <w:sz w:val="16"/>
        </w:rPr>
        <w:t> </w:t>
      </w:r>
      <w:r>
        <w:rPr>
          <w:sz w:val="16"/>
        </w:rPr>
        <w:t>degeneration with hepatic cirrhosis. </w:t>
      </w:r>
      <w:r>
        <w:rPr>
          <w:i/>
          <w:sz w:val="16"/>
        </w:rPr>
        <w:t>Arch Neurol</w:t>
      </w:r>
      <w:r>
        <w:rPr>
          <w:sz w:val="16"/>
        </w:rPr>
        <w:t>. 1976;33:</w:t>
      </w:r>
      <w:r>
        <w:rPr>
          <w:spacing w:val="40"/>
          <w:sz w:val="16"/>
        </w:rPr>
        <w:t> </w:t>
      </w:r>
      <w:bookmarkStart w:name="_bookmark11" w:id="12"/>
      <w:bookmarkEnd w:id="12"/>
      <w:r>
        <w:rPr>
          <w:spacing w:val="-2"/>
          <w:sz w:val="16"/>
        </w:rPr>
        <w:t>186–19</w:t>
      </w:r>
      <w:r>
        <w:rPr>
          <w:spacing w:val="-2"/>
          <w:sz w:val="16"/>
        </w:rPr>
        <w:t>2.</w:t>
      </w:r>
    </w:p>
    <w:p>
      <w:pPr>
        <w:pStyle w:val="ListParagraph"/>
        <w:numPr>
          <w:ilvl w:val="0"/>
          <w:numId w:val="1"/>
        </w:numPr>
        <w:tabs>
          <w:tab w:pos="286" w:val="left" w:leader="none"/>
        </w:tabs>
        <w:spacing w:line="232" w:lineRule="auto" w:before="0" w:after="0"/>
        <w:ind w:left="286" w:right="0" w:hanging="279"/>
        <w:jc w:val="both"/>
        <w:rPr>
          <w:sz w:val="16"/>
        </w:rPr>
      </w:pPr>
      <w:r>
        <w:rPr>
          <w:sz w:val="16"/>
        </w:rPr>
        <w:t>Winterthun S, Ferrari G, He L, et al. Autosomal </w:t>
      </w:r>
      <w:r>
        <w:rPr>
          <w:sz w:val="16"/>
        </w:rPr>
        <w:t>recessive</w:t>
      </w:r>
      <w:r>
        <w:rPr>
          <w:spacing w:val="40"/>
          <w:sz w:val="16"/>
        </w:rPr>
        <w:t> </w:t>
      </w:r>
      <w:r>
        <w:rPr>
          <w:sz w:val="16"/>
        </w:rPr>
        <w:t>mitochondrial</w:t>
      </w:r>
      <w:r>
        <w:rPr>
          <w:spacing w:val="-5"/>
          <w:sz w:val="16"/>
        </w:rPr>
        <w:t> </w:t>
      </w:r>
      <w:r>
        <w:rPr>
          <w:sz w:val="16"/>
        </w:rPr>
        <w:t>ataxic</w:t>
      </w:r>
      <w:r>
        <w:rPr>
          <w:spacing w:val="-5"/>
          <w:sz w:val="16"/>
        </w:rPr>
        <w:t> </w:t>
      </w:r>
      <w:r>
        <w:rPr>
          <w:sz w:val="16"/>
        </w:rPr>
        <w:t>syndrome</w:t>
      </w:r>
      <w:r>
        <w:rPr>
          <w:spacing w:val="-5"/>
          <w:sz w:val="16"/>
        </w:rPr>
        <w:t> </w:t>
      </w:r>
      <w:r>
        <w:rPr>
          <w:sz w:val="16"/>
        </w:rPr>
        <w:t>due</w:t>
      </w:r>
      <w:r>
        <w:rPr>
          <w:spacing w:val="-5"/>
          <w:sz w:val="16"/>
        </w:rPr>
        <w:t> </w:t>
      </w:r>
      <w:r>
        <w:rPr>
          <w:sz w:val="16"/>
        </w:rPr>
        <w:t>to</w:t>
      </w:r>
      <w:r>
        <w:rPr>
          <w:spacing w:val="-5"/>
          <w:sz w:val="16"/>
        </w:rPr>
        <w:t> </w:t>
      </w:r>
      <w:r>
        <w:rPr>
          <w:sz w:val="16"/>
        </w:rPr>
        <w:t>mitochondrial</w:t>
      </w:r>
      <w:r>
        <w:rPr>
          <w:spacing w:val="-7"/>
          <w:sz w:val="16"/>
        </w:rPr>
        <w:t> </w:t>
      </w:r>
      <w:r>
        <w:rPr>
          <w:sz w:val="16"/>
        </w:rPr>
        <w:t>polymerase</w:t>
      </w:r>
      <w:r>
        <w:rPr>
          <w:spacing w:val="-5"/>
          <w:sz w:val="16"/>
        </w:rPr>
        <w:t> </w:t>
      </w:r>
      <w:r>
        <w:rPr>
          <w:sz w:val="16"/>
        </w:rPr>
        <w:t>g</w:t>
      </w:r>
      <w:r>
        <w:rPr>
          <w:spacing w:val="40"/>
          <w:sz w:val="16"/>
        </w:rPr>
        <w:t> </w:t>
      </w:r>
      <w:r>
        <w:rPr>
          <w:sz w:val="16"/>
        </w:rPr>
        <w:t>mutations. </w:t>
      </w:r>
      <w:r>
        <w:rPr>
          <w:i/>
          <w:sz w:val="16"/>
        </w:rPr>
        <w:t>Neurology</w:t>
      </w:r>
      <w:r>
        <w:rPr>
          <w:sz w:val="16"/>
        </w:rPr>
        <w:t>. 2005;64:1204–1208.</w:t>
      </w:r>
    </w:p>
    <w:p>
      <w:pPr>
        <w:pStyle w:val="ListParagraph"/>
        <w:numPr>
          <w:ilvl w:val="0"/>
          <w:numId w:val="1"/>
        </w:numPr>
        <w:tabs>
          <w:tab w:pos="286" w:val="left" w:leader="none"/>
        </w:tabs>
        <w:spacing w:line="232" w:lineRule="auto" w:before="79" w:after="0"/>
        <w:ind w:left="286" w:right="3" w:hanging="279"/>
        <w:jc w:val="both"/>
        <w:rPr>
          <w:sz w:val="16"/>
        </w:rPr>
      </w:pPr>
      <w:r>
        <w:rPr/>
        <w:br w:type="column"/>
      </w:r>
      <w:bookmarkStart w:name="_bookmark12" w:id="13"/>
      <w:bookmarkEnd w:id="13"/>
      <w:r>
        <w:rPr/>
      </w:r>
      <w:r>
        <w:rPr>
          <w:sz w:val="16"/>
        </w:rPr>
        <w:t>Milone M, Brunetti-Pierri N, Tang LY, et al. Sensory </w:t>
      </w:r>
      <w:r>
        <w:rPr>
          <w:sz w:val="16"/>
        </w:rPr>
        <w:t>ataxic</w:t>
      </w:r>
      <w:r>
        <w:rPr>
          <w:spacing w:val="40"/>
          <w:sz w:val="16"/>
        </w:rPr>
        <w:t> </w:t>
      </w:r>
      <w:r>
        <w:rPr>
          <w:sz w:val="16"/>
        </w:rPr>
        <w:t>neuropathy</w:t>
      </w:r>
      <w:r>
        <w:rPr>
          <w:sz w:val="16"/>
        </w:rPr>
        <w:t> with ophthalmoparesis caused by POLG mutations.</w:t>
      </w:r>
      <w:r>
        <w:rPr>
          <w:spacing w:val="40"/>
          <w:sz w:val="16"/>
        </w:rPr>
        <w:t> </w:t>
      </w:r>
      <w:bookmarkStart w:name="_bookmark13" w:id="14"/>
      <w:bookmarkEnd w:id="14"/>
      <w:r>
        <w:rPr>
          <w:w w:val="99"/>
          <w:sz w:val="16"/>
        </w:rPr>
      </w:r>
      <w:r>
        <w:rPr>
          <w:i/>
          <w:sz w:val="16"/>
        </w:rPr>
        <w:t>Neuromuscul Disord</w:t>
      </w:r>
      <w:r>
        <w:rPr>
          <w:sz w:val="16"/>
        </w:rPr>
        <w:t>. 2008;18:626–632.</w:t>
      </w:r>
    </w:p>
    <w:p>
      <w:pPr>
        <w:pStyle w:val="ListParagraph"/>
        <w:numPr>
          <w:ilvl w:val="0"/>
          <w:numId w:val="1"/>
        </w:numPr>
        <w:tabs>
          <w:tab w:pos="286" w:val="left" w:leader="none"/>
        </w:tabs>
        <w:spacing w:line="235" w:lineRule="auto" w:before="1" w:after="0"/>
        <w:ind w:left="286" w:right="4" w:hanging="279"/>
        <w:jc w:val="both"/>
        <w:rPr>
          <w:sz w:val="16"/>
        </w:rPr>
      </w:pPr>
      <w:r>
        <w:rPr>
          <w:sz w:val="16"/>
        </w:rPr>
        <w:t>Hakonen</w:t>
      </w:r>
      <w:r>
        <w:rPr>
          <w:spacing w:val="-2"/>
          <w:sz w:val="16"/>
        </w:rPr>
        <w:t> </w:t>
      </w:r>
      <w:r>
        <w:rPr>
          <w:sz w:val="16"/>
        </w:rPr>
        <w:t>AH,</w:t>
      </w:r>
      <w:r>
        <w:rPr>
          <w:spacing w:val="-1"/>
          <w:sz w:val="16"/>
        </w:rPr>
        <w:t> </w:t>
      </w:r>
      <w:r>
        <w:rPr>
          <w:sz w:val="16"/>
        </w:rPr>
        <w:t>Heiskanen S,</w:t>
      </w:r>
      <w:r>
        <w:rPr>
          <w:spacing w:val="-1"/>
          <w:sz w:val="16"/>
        </w:rPr>
        <w:t> </w:t>
      </w:r>
      <w:r>
        <w:rPr>
          <w:sz w:val="16"/>
        </w:rPr>
        <w:t>Juvonen</w:t>
      </w:r>
      <w:r>
        <w:rPr>
          <w:spacing w:val="-3"/>
          <w:sz w:val="16"/>
        </w:rPr>
        <w:t> </w:t>
      </w:r>
      <w:r>
        <w:rPr>
          <w:sz w:val="16"/>
        </w:rPr>
        <w:t>V,</w:t>
      </w:r>
      <w:r>
        <w:rPr>
          <w:spacing w:val="-1"/>
          <w:sz w:val="16"/>
        </w:rPr>
        <w:t> </w:t>
      </w:r>
      <w:r>
        <w:rPr>
          <w:sz w:val="16"/>
        </w:rPr>
        <w:t>et al.</w:t>
      </w:r>
      <w:r>
        <w:rPr>
          <w:spacing w:val="-1"/>
          <w:sz w:val="16"/>
        </w:rPr>
        <w:t> </w:t>
      </w:r>
      <w:r>
        <w:rPr>
          <w:sz w:val="16"/>
        </w:rPr>
        <w:t>Mitochondrial </w:t>
      </w:r>
      <w:r>
        <w:rPr>
          <w:sz w:val="16"/>
        </w:rPr>
        <w:t>DNA</w:t>
      </w:r>
      <w:r>
        <w:rPr>
          <w:spacing w:val="40"/>
          <w:sz w:val="16"/>
        </w:rPr>
        <w:t> </w:t>
      </w:r>
      <w:r>
        <w:rPr>
          <w:sz w:val="16"/>
        </w:rPr>
        <w:t>polymerase W748S mutation: a common cause of autosomal</w:t>
      </w:r>
      <w:r>
        <w:rPr>
          <w:spacing w:val="40"/>
          <w:sz w:val="16"/>
        </w:rPr>
        <w:t> </w:t>
      </w:r>
      <w:r>
        <w:rPr>
          <w:sz w:val="16"/>
        </w:rPr>
        <w:t>recessive ataxia with ancient European origin. </w:t>
      </w:r>
      <w:r>
        <w:rPr>
          <w:i/>
          <w:sz w:val="16"/>
        </w:rPr>
        <w:t>Am J Hum Genet</w:t>
      </w:r>
      <w:r>
        <w:rPr>
          <w:sz w:val="16"/>
        </w:rPr>
        <w:t>.</w:t>
      </w:r>
      <w:r>
        <w:rPr>
          <w:spacing w:val="40"/>
          <w:sz w:val="16"/>
        </w:rPr>
        <w:t> </w:t>
      </w:r>
      <w:bookmarkStart w:name="_bookmark14" w:id="15"/>
      <w:bookmarkEnd w:id="15"/>
      <w:r>
        <w:rPr>
          <w:spacing w:val="-2"/>
          <w:sz w:val="16"/>
        </w:rPr>
        <w:t>2005;</w:t>
      </w:r>
      <w:r>
        <w:rPr>
          <w:spacing w:val="-2"/>
          <w:sz w:val="16"/>
        </w:rPr>
        <w:t>77:430–441.</w:t>
      </w:r>
    </w:p>
    <w:p>
      <w:pPr>
        <w:pStyle w:val="ListParagraph"/>
        <w:numPr>
          <w:ilvl w:val="0"/>
          <w:numId w:val="1"/>
        </w:numPr>
        <w:tabs>
          <w:tab w:pos="286" w:val="left" w:leader="none"/>
        </w:tabs>
        <w:spacing w:line="232" w:lineRule="auto" w:before="0" w:after="0"/>
        <w:ind w:left="286" w:right="4" w:hanging="279"/>
        <w:jc w:val="both"/>
        <w:rPr>
          <w:sz w:val="16"/>
        </w:rPr>
      </w:pPr>
      <w:r>
        <w:rPr>
          <w:sz w:val="16"/>
        </w:rPr>
        <w:t>Davidzon G, Greene P, Mancuso M, et al. Early-onset </w:t>
      </w:r>
      <w:r>
        <w:rPr>
          <w:sz w:val="16"/>
        </w:rPr>
        <w:t>familial</w:t>
      </w:r>
      <w:r>
        <w:rPr>
          <w:spacing w:val="40"/>
          <w:sz w:val="16"/>
        </w:rPr>
        <w:t> </w:t>
      </w:r>
      <w:r>
        <w:rPr>
          <w:sz w:val="16"/>
        </w:rPr>
        <w:t>Parkinsonism due to POLG mutations. </w:t>
      </w:r>
      <w:r>
        <w:rPr>
          <w:i/>
          <w:sz w:val="16"/>
        </w:rPr>
        <w:t>Ann Neurol</w:t>
      </w:r>
      <w:r>
        <w:rPr>
          <w:sz w:val="16"/>
        </w:rPr>
        <w:t>. 2006;59:</w:t>
      </w:r>
      <w:r>
        <w:rPr>
          <w:spacing w:val="40"/>
          <w:sz w:val="16"/>
        </w:rPr>
        <w:t> </w:t>
      </w:r>
      <w:bookmarkStart w:name="_bookmark15" w:id="16"/>
      <w:bookmarkEnd w:id="16"/>
      <w:r>
        <w:rPr>
          <w:spacing w:val="-2"/>
          <w:sz w:val="16"/>
        </w:rPr>
        <w:t>859–86</w:t>
      </w:r>
      <w:r>
        <w:rPr>
          <w:spacing w:val="-2"/>
          <w:sz w:val="16"/>
        </w:rPr>
        <w:t>2.</w:t>
      </w:r>
    </w:p>
    <w:p>
      <w:pPr>
        <w:pStyle w:val="ListParagraph"/>
        <w:numPr>
          <w:ilvl w:val="0"/>
          <w:numId w:val="1"/>
        </w:numPr>
        <w:tabs>
          <w:tab w:pos="286" w:val="left" w:leader="none"/>
        </w:tabs>
        <w:spacing w:line="232" w:lineRule="auto" w:before="0" w:after="0"/>
        <w:ind w:left="286" w:right="4" w:hanging="279"/>
        <w:jc w:val="both"/>
        <w:rPr>
          <w:sz w:val="16"/>
        </w:rPr>
      </w:pPr>
      <w:r>
        <w:rPr>
          <w:sz w:val="16"/>
        </w:rPr>
        <w:t>Rovio AT, Marchington DR, Donat S, et al. Mutations at </w:t>
      </w:r>
      <w:r>
        <w:rPr>
          <w:sz w:val="16"/>
        </w:rPr>
        <w:t>the</w:t>
      </w:r>
      <w:r>
        <w:rPr>
          <w:spacing w:val="40"/>
          <w:sz w:val="16"/>
        </w:rPr>
        <w:t> </w:t>
      </w:r>
      <w:r>
        <w:rPr>
          <w:sz w:val="16"/>
        </w:rPr>
        <w:t>mitochondrial DNA polymerase (POLG) locus associated with</w:t>
      </w:r>
      <w:r>
        <w:rPr>
          <w:spacing w:val="40"/>
          <w:sz w:val="16"/>
        </w:rPr>
        <w:t> </w:t>
      </w:r>
      <w:bookmarkStart w:name="_bookmark16" w:id="17"/>
      <w:bookmarkEnd w:id="17"/>
      <w:r>
        <w:rPr>
          <w:sz w:val="16"/>
        </w:rPr>
        <w:t>male</w:t>
      </w:r>
      <w:r>
        <w:rPr>
          <w:sz w:val="16"/>
        </w:rPr>
        <w:t> infertility. </w:t>
      </w:r>
      <w:r>
        <w:rPr>
          <w:i/>
          <w:sz w:val="16"/>
        </w:rPr>
        <w:t>Nat Genet</w:t>
      </w:r>
      <w:r>
        <w:rPr>
          <w:sz w:val="16"/>
        </w:rPr>
        <w:t>. 2001;29:261–262.</w:t>
      </w:r>
    </w:p>
    <w:p>
      <w:pPr>
        <w:pStyle w:val="ListParagraph"/>
        <w:numPr>
          <w:ilvl w:val="0"/>
          <w:numId w:val="1"/>
        </w:numPr>
        <w:tabs>
          <w:tab w:pos="286" w:val="left" w:leader="none"/>
        </w:tabs>
        <w:spacing w:line="232" w:lineRule="auto" w:before="3" w:after="0"/>
        <w:ind w:left="286" w:right="4" w:hanging="279"/>
        <w:jc w:val="both"/>
        <w:rPr>
          <w:sz w:val="16"/>
        </w:rPr>
      </w:pPr>
      <w:r>
        <w:rPr>
          <w:sz w:val="16"/>
        </w:rPr>
        <w:t>Rantamaki M, Krahe R, Paetau A, et al. Adult-onset autosomal</w:t>
      </w:r>
      <w:r>
        <w:rPr>
          <w:spacing w:val="40"/>
          <w:sz w:val="16"/>
        </w:rPr>
        <w:t> </w:t>
      </w:r>
      <w:r>
        <w:rPr>
          <w:sz w:val="16"/>
        </w:rPr>
        <w:t>recessive ataxia with thalamic lesions in a Finnish </w:t>
      </w:r>
      <w:r>
        <w:rPr>
          <w:sz w:val="16"/>
        </w:rPr>
        <w:t>family.</w:t>
      </w:r>
      <w:r>
        <w:rPr>
          <w:spacing w:val="40"/>
          <w:sz w:val="16"/>
        </w:rPr>
        <w:t> </w:t>
      </w:r>
      <w:r>
        <w:rPr>
          <w:i/>
          <w:sz w:val="16"/>
        </w:rPr>
        <w:t>Neurology</w:t>
      </w:r>
      <w:r>
        <w:rPr>
          <w:sz w:val="16"/>
        </w:rPr>
        <w:t>. 2001;57:1043–1049.</w:t>
      </w:r>
    </w:p>
    <w:p>
      <w:pPr>
        <w:pStyle w:val="ListParagraph"/>
        <w:numPr>
          <w:ilvl w:val="0"/>
          <w:numId w:val="1"/>
        </w:numPr>
        <w:tabs>
          <w:tab w:pos="286" w:val="left" w:leader="none"/>
        </w:tabs>
        <w:spacing w:line="232" w:lineRule="auto" w:before="2" w:after="0"/>
        <w:ind w:left="286" w:right="4" w:hanging="279"/>
        <w:jc w:val="both"/>
        <w:rPr>
          <w:sz w:val="16"/>
        </w:rPr>
      </w:pPr>
      <w:r>
        <w:rPr>
          <w:sz w:val="16"/>
        </w:rPr>
        <w:t>Fadic R, Russell JA, Vedanarayanan VV, et al. Sensory </w:t>
      </w:r>
      <w:r>
        <w:rPr>
          <w:sz w:val="16"/>
        </w:rPr>
        <w:t>ataxic</w:t>
      </w:r>
      <w:r>
        <w:rPr>
          <w:spacing w:val="40"/>
          <w:sz w:val="16"/>
        </w:rPr>
        <w:t> </w:t>
      </w:r>
      <w:r>
        <w:rPr>
          <w:sz w:val="16"/>
        </w:rPr>
        <w:t>neuropathy</w:t>
      </w:r>
      <w:r>
        <w:rPr>
          <w:sz w:val="16"/>
        </w:rPr>
        <w:t> as the presenting feature of a novel mitochondrial</w:t>
      </w:r>
      <w:r>
        <w:rPr>
          <w:spacing w:val="40"/>
          <w:sz w:val="16"/>
        </w:rPr>
        <w:t> </w:t>
      </w:r>
      <w:bookmarkStart w:name="_bookmark17" w:id="18"/>
      <w:bookmarkEnd w:id="18"/>
      <w:r>
        <w:rPr>
          <w:sz w:val="16"/>
        </w:rPr>
        <w:t>disease.</w:t>
      </w:r>
      <w:r>
        <w:rPr>
          <w:sz w:val="16"/>
        </w:rPr>
        <w:t> </w:t>
      </w:r>
      <w:r>
        <w:rPr>
          <w:i/>
          <w:sz w:val="16"/>
        </w:rPr>
        <w:t>Neurology</w:t>
      </w:r>
      <w:r>
        <w:rPr>
          <w:sz w:val="16"/>
        </w:rPr>
        <w:t>. 1997;49:239–245.</w:t>
      </w:r>
    </w:p>
    <w:p>
      <w:pPr>
        <w:pStyle w:val="ListParagraph"/>
        <w:numPr>
          <w:ilvl w:val="0"/>
          <w:numId w:val="1"/>
        </w:numPr>
        <w:tabs>
          <w:tab w:pos="286" w:val="left" w:leader="none"/>
        </w:tabs>
        <w:spacing w:line="232" w:lineRule="auto" w:before="3" w:after="0"/>
        <w:ind w:left="286" w:right="3" w:hanging="279"/>
        <w:jc w:val="both"/>
        <w:rPr>
          <w:sz w:val="16"/>
        </w:rPr>
      </w:pPr>
      <w:r>
        <w:rPr>
          <w:sz w:val="16"/>
        </w:rPr>
        <w:t>Hudson G, Deschauer M, Busse K, et al. Sensory ataxic</w:t>
      </w:r>
      <w:r>
        <w:rPr>
          <w:spacing w:val="40"/>
          <w:sz w:val="16"/>
        </w:rPr>
        <w:t> </w:t>
      </w:r>
      <w:r>
        <w:rPr>
          <w:sz w:val="16"/>
        </w:rPr>
        <w:t>neuropathy</w:t>
      </w:r>
      <w:r>
        <w:rPr>
          <w:sz w:val="16"/>
        </w:rPr>
        <w:t> due to a novel C10Orf2 mutation with </w:t>
      </w:r>
      <w:r>
        <w:rPr>
          <w:sz w:val="16"/>
        </w:rPr>
        <w:t>probable</w:t>
      </w:r>
      <w:r>
        <w:rPr>
          <w:spacing w:val="40"/>
          <w:sz w:val="16"/>
        </w:rPr>
        <w:t> </w:t>
      </w:r>
      <w:bookmarkStart w:name="_bookmark18" w:id="19"/>
      <w:bookmarkEnd w:id="19"/>
      <w:r>
        <w:rPr>
          <w:sz w:val="16"/>
        </w:rPr>
        <w:t>germline</w:t>
      </w:r>
      <w:r>
        <w:rPr>
          <w:sz w:val="16"/>
        </w:rPr>
        <w:t> mosaicism. </w:t>
      </w:r>
      <w:r>
        <w:rPr>
          <w:i/>
          <w:sz w:val="16"/>
        </w:rPr>
        <w:t>Neurology</w:t>
      </w:r>
      <w:r>
        <w:rPr>
          <w:sz w:val="16"/>
        </w:rPr>
        <w:t>. 2005;64:371–373.</w:t>
      </w:r>
    </w:p>
    <w:p>
      <w:pPr>
        <w:pStyle w:val="ListParagraph"/>
        <w:numPr>
          <w:ilvl w:val="0"/>
          <w:numId w:val="1"/>
        </w:numPr>
        <w:tabs>
          <w:tab w:pos="286" w:val="left" w:leader="none"/>
        </w:tabs>
        <w:spacing w:line="232" w:lineRule="auto" w:before="2" w:after="0"/>
        <w:ind w:left="286" w:right="3" w:hanging="279"/>
        <w:jc w:val="both"/>
        <w:rPr>
          <w:sz w:val="16"/>
        </w:rPr>
      </w:pPr>
      <w:r>
        <w:rPr>
          <w:sz w:val="16"/>
        </w:rPr>
        <w:t>Di Fonzo A, Bordoni A, Crimi M, et al. POLG mutations in</w:t>
      </w:r>
      <w:r>
        <w:rPr>
          <w:spacing w:val="40"/>
          <w:sz w:val="16"/>
        </w:rPr>
        <w:t> </w:t>
      </w:r>
      <w:r>
        <w:rPr>
          <w:sz w:val="16"/>
        </w:rPr>
        <w:t>sporadic mitochondrial disorders with multiple mtDNA </w:t>
      </w:r>
      <w:r>
        <w:rPr>
          <w:sz w:val="16"/>
        </w:rPr>
        <w:t>deletions.</w:t>
      </w:r>
      <w:r>
        <w:rPr>
          <w:spacing w:val="40"/>
          <w:sz w:val="16"/>
        </w:rPr>
        <w:t> </w:t>
      </w:r>
      <w:r>
        <w:rPr>
          <w:i/>
          <w:sz w:val="16"/>
        </w:rPr>
        <w:t>Hum Mutat</w:t>
      </w:r>
      <w:r>
        <w:rPr>
          <w:sz w:val="16"/>
        </w:rPr>
        <w:t>. 2003;22:498–499.</w:t>
      </w:r>
    </w:p>
    <w:p>
      <w:pPr>
        <w:pStyle w:val="ListParagraph"/>
        <w:numPr>
          <w:ilvl w:val="0"/>
          <w:numId w:val="1"/>
        </w:numPr>
        <w:tabs>
          <w:tab w:pos="286" w:val="left" w:leader="none"/>
        </w:tabs>
        <w:spacing w:line="235" w:lineRule="auto" w:before="1" w:after="0"/>
        <w:ind w:left="286" w:right="4" w:hanging="279"/>
        <w:jc w:val="both"/>
        <w:rPr>
          <w:sz w:val="16"/>
        </w:rPr>
      </w:pPr>
      <w:r>
        <w:rPr>
          <w:sz w:val="16"/>
        </w:rPr>
        <w:t>Mancuso M, Filosto M, Oh SJ, et al. A novel polymerase gamma</w:t>
      </w:r>
      <w:r>
        <w:rPr>
          <w:spacing w:val="40"/>
          <w:sz w:val="16"/>
        </w:rPr>
        <w:t> </w:t>
      </w:r>
      <w:r>
        <w:rPr>
          <w:sz w:val="16"/>
        </w:rPr>
        <w:t>mutation in a family with ophthalmoplegia, neuropathy, </w:t>
      </w:r>
      <w:r>
        <w:rPr>
          <w:sz w:val="16"/>
        </w:rPr>
        <w:t>and</w:t>
      </w:r>
      <w:r>
        <w:rPr>
          <w:spacing w:val="40"/>
          <w:sz w:val="16"/>
        </w:rPr>
        <w:t> </w:t>
      </w:r>
      <w:r>
        <w:rPr>
          <w:sz w:val="16"/>
        </w:rPr>
        <w:t>parkinsonism. </w:t>
      </w:r>
      <w:r>
        <w:rPr>
          <w:i/>
          <w:sz w:val="16"/>
        </w:rPr>
        <w:t>Arch Neurol</w:t>
      </w:r>
      <w:r>
        <w:rPr>
          <w:sz w:val="16"/>
        </w:rPr>
        <w:t>. 2004;61:1777–1779.</w:t>
      </w:r>
    </w:p>
    <w:p>
      <w:pPr>
        <w:pStyle w:val="ListParagraph"/>
        <w:numPr>
          <w:ilvl w:val="0"/>
          <w:numId w:val="1"/>
        </w:numPr>
        <w:tabs>
          <w:tab w:pos="286" w:val="left" w:leader="none"/>
        </w:tabs>
        <w:spacing w:line="232" w:lineRule="auto" w:before="0" w:after="0"/>
        <w:ind w:left="286" w:right="3" w:hanging="279"/>
        <w:jc w:val="both"/>
        <w:rPr>
          <w:sz w:val="16"/>
        </w:rPr>
      </w:pPr>
      <w:r>
        <w:rPr>
          <w:sz w:val="16"/>
        </w:rPr>
        <w:t>Mancuso M, Filosto M, Bellan M, et al. POLG mutations </w:t>
      </w:r>
      <w:r>
        <w:rPr>
          <w:sz w:val="16"/>
        </w:rPr>
        <w:t>causing</w:t>
      </w:r>
      <w:r>
        <w:rPr>
          <w:spacing w:val="40"/>
          <w:sz w:val="16"/>
        </w:rPr>
        <w:t> </w:t>
      </w:r>
      <w:r>
        <w:rPr>
          <w:sz w:val="16"/>
        </w:rPr>
        <w:t>ophthalmoplegia, sensorimotor polyneuropathy, ataxia, and deaf-</w:t>
      </w:r>
      <w:r>
        <w:rPr>
          <w:spacing w:val="40"/>
          <w:sz w:val="16"/>
        </w:rPr>
        <w:t> </w:t>
      </w:r>
      <w:bookmarkStart w:name="_bookmark19" w:id="20"/>
      <w:bookmarkEnd w:id="20"/>
      <w:r>
        <w:rPr>
          <w:sz w:val="16"/>
        </w:rPr>
        <w:t>ness.</w:t>
      </w:r>
      <w:r>
        <w:rPr>
          <w:sz w:val="16"/>
        </w:rPr>
        <w:t> </w:t>
      </w:r>
      <w:r>
        <w:rPr>
          <w:i/>
          <w:sz w:val="16"/>
        </w:rPr>
        <w:t>Neurology</w:t>
      </w:r>
      <w:r>
        <w:rPr>
          <w:sz w:val="16"/>
        </w:rPr>
        <w:t>. 2004;62:316–318.</w:t>
      </w:r>
    </w:p>
    <w:p>
      <w:pPr>
        <w:pStyle w:val="ListParagraph"/>
        <w:numPr>
          <w:ilvl w:val="0"/>
          <w:numId w:val="1"/>
        </w:numPr>
        <w:tabs>
          <w:tab w:pos="286" w:val="left" w:leader="none"/>
        </w:tabs>
        <w:spacing w:line="235" w:lineRule="auto" w:before="0" w:after="0"/>
        <w:ind w:left="286" w:right="4" w:hanging="279"/>
        <w:jc w:val="both"/>
        <w:rPr>
          <w:sz w:val="16"/>
        </w:rPr>
      </w:pPr>
      <w:r>
        <w:rPr>
          <w:sz w:val="16"/>
        </w:rPr>
        <w:t>Milone M, Massie R. Polymerase gamma 1 mutations: </w:t>
      </w:r>
      <w:r>
        <w:rPr>
          <w:sz w:val="16"/>
        </w:rPr>
        <w:t>clinical</w:t>
      </w:r>
      <w:r>
        <w:rPr>
          <w:spacing w:val="40"/>
          <w:sz w:val="16"/>
        </w:rPr>
        <w:t> </w:t>
      </w:r>
      <w:r>
        <w:rPr>
          <w:sz w:val="16"/>
        </w:rPr>
        <w:t>correlations. </w:t>
      </w:r>
      <w:r>
        <w:rPr>
          <w:i/>
          <w:sz w:val="16"/>
        </w:rPr>
        <w:t>Neurologist</w:t>
      </w:r>
      <w:r>
        <w:rPr>
          <w:sz w:val="16"/>
        </w:rPr>
        <w:t>. 2010;16:84–91.</w:t>
      </w:r>
    </w:p>
    <w:p>
      <w:pPr>
        <w:pStyle w:val="ListParagraph"/>
        <w:numPr>
          <w:ilvl w:val="0"/>
          <w:numId w:val="1"/>
        </w:numPr>
        <w:tabs>
          <w:tab w:pos="286" w:val="left" w:leader="none"/>
        </w:tabs>
        <w:spacing w:line="232" w:lineRule="auto" w:before="0" w:after="0"/>
        <w:ind w:left="286" w:right="4" w:hanging="279"/>
        <w:jc w:val="both"/>
        <w:rPr>
          <w:sz w:val="16"/>
        </w:rPr>
      </w:pPr>
      <w:r>
        <w:rPr>
          <w:sz w:val="16"/>
        </w:rPr>
        <w:t>Cohen BH, Naviaux RK. The clinical diagnosis of POLG </w:t>
      </w:r>
      <w:r>
        <w:rPr>
          <w:sz w:val="16"/>
        </w:rPr>
        <w:t>disease</w:t>
      </w:r>
      <w:r>
        <w:rPr>
          <w:spacing w:val="40"/>
          <w:sz w:val="16"/>
        </w:rPr>
        <w:t> </w:t>
      </w:r>
      <w:r>
        <w:rPr>
          <w:sz w:val="16"/>
        </w:rPr>
        <w:t>and other mitochondrial DNA depletion disorders. </w:t>
      </w:r>
      <w:r>
        <w:rPr>
          <w:i/>
          <w:sz w:val="16"/>
        </w:rPr>
        <w:t>Methods</w:t>
      </w:r>
      <w:r>
        <w:rPr>
          <w:sz w:val="16"/>
        </w:rPr>
        <w:t>.</w:t>
      </w:r>
      <w:r>
        <w:rPr>
          <w:spacing w:val="40"/>
          <w:sz w:val="16"/>
        </w:rPr>
        <w:t> </w:t>
      </w:r>
      <w:r>
        <w:rPr>
          <w:spacing w:val="-2"/>
          <w:sz w:val="16"/>
        </w:rPr>
        <w:t>2010;51:364–373.</w:t>
      </w:r>
    </w:p>
    <w:p>
      <w:pPr>
        <w:pStyle w:val="ListParagraph"/>
        <w:spacing w:after="0" w:line="232" w:lineRule="auto"/>
        <w:jc w:val="both"/>
        <w:rPr>
          <w:sz w:val="16"/>
        </w:rPr>
        <w:sectPr>
          <w:type w:val="continuous"/>
          <w:pgSz w:w="11160" w:h="15480"/>
          <w:pgMar w:top="620" w:bottom="280" w:left="850" w:right="850"/>
          <w:cols w:num="2" w:equalWidth="0">
            <w:col w:w="4552" w:space="350"/>
            <w:col w:w="4558"/>
          </w:cols>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12"/>
      </w:pPr>
    </w:p>
    <w:p>
      <w:pPr>
        <w:tabs>
          <w:tab w:pos="6989" w:val="left" w:leader="none"/>
        </w:tabs>
        <w:spacing w:before="1"/>
        <w:ind w:left="7" w:right="0" w:firstLine="0"/>
        <w:jc w:val="left"/>
        <w:rPr>
          <w:sz w:val="24"/>
        </w:rPr>
      </w:pPr>
      <w:r>
        <w:rPr>
          <w:rFonts w:ascii="Arial"/>
          <w:position w:val="2"/>
          <w:sz w:val="13"/>
        </w:rPr>
        <w:t>r</w:t>
      </w:r>
      <w:r>
        <w:rPr>
          <w:rFonts w:ascii="Arial"/>
          <w:spacing w:val="36"/>
          <w:position w:val="2"/>
          <w:sz w:val="13"/>
        </w:rPr>
        <w:t> </w:t>
      </w:r>
      <w:r>
        <w:rPr>
          <w:i/>
          <w:sz w:val="18"/>
        </w:rPr>
        <w:t>2012</w:t>
      </w:r>
      <w:r>
        <w:rPr>
          <w:i/>
          <w:spacing w:val="28"/>
          <w:sz w:val="18"/>
        </w:rPr>
        <w:t> </w:t>
      </w:r>
      <w:r>
        <w:rPr>
          <w:i/>
          <w:sz w:val="18"/>
        </w:rPr>
        <w:t>Lippincott</w:t>
      </w:r>
      <w:r>
        <w:rPr>
          <w:i/>
          <w:spacing w:val="28"/>
          <w:sz w:val="18"/>
        </w:rPr>
        <w:t> </w:t>
      </w:r>
      <w:r>
        <w:rPr>
          <w:i/>
          <w:sz w:val="18"/>
        </w:rPr>
        <w:t>Williams</w:t>
      </w:r>
      <w:r>
        <w:rPr>
          <w:i/>
          <w:spacing w:val="29"/>
          <w:sz w:val="18"/>
        </w:rPr>
        <w:t> </w:t>
      </w:r>
      <w:r>
        <w:rPr>
          <w:i/>
          <w:sz w:val="18"/>
        </w:rPr>
        <w:t>&amp;</w:t>
      </w:r>
      <w:r>
        <w:rPr>
          <w:i/>
          <w:spacing w:val="27"/>
          <w:sz w:val="18"/>
        </w:rPr>
        <w:t> </w:t>
      </w:r>
      <w:r>
        <w:rPr>
          <w:i/>
          <w:spacing w:val="-2"/>
          <w:sz w:val="18"/>
        </w:rPr>
        <w:t>Wilkins</w:t>
      </w:r>
      <w:r>
        <w:rPr>
          <w:i/>
          <w:sz w:val="18"/>
        </w:rPr>
        <w:tab/>
      </w:r>
      <w:hyperlink r:id="rId6">
        <w:r>
          <w:rPr>
            <w:rFonts w:ascii="Arial"/>
            <w:sz w:val="18"/>
          </w:rPr>
          <w:t>www.theneurologist.org</w:t>
        </w:r>
      </w:hyperlink>
      <w:r>
        <w:rPr>
          <w:rFonts w:ascii="Arial"/>
          <w:spacing w:val="40"/>
          <w:sz w:val="18"/>
        </w:rPr>
        <w:t> </w:t>
      </w:r>
      <w:r>
        <w:rPr>
          <w:rFonts w:ascii="Arial"/>
          <w:position w:val="3"/>
          <w:sz w:val="16"/>
        </w:rPr>
        <w:t>|</w:t>
      </w:r>
      <w:r>
        <w:rPr>
          <w:rFonts w:ascii="Arial"/>
          <w:spacing w:val="43"/>
          <w:position w:val="3"/>
          <w:sz w:val="16"/>
        </w:rPr>
        <w:t> </w:t>
      </w:r>
      <w:r>
        <w:rPr>
          <w:spacing w:val="-5"/>
          <w:sz w:val="24"/>
        </w:rPr>
        <w:t>289</w:t>
      </w:r>
    </w:p>
    <w:sectPr>
      <w:type w:val="continuous"/>
      <w:pgSz w:w="11160" w:h="15480"/>
      <w:pgMar w:top="620" w:bottom="280" w:left="850" w:right="85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286" w:hanging="200"/>
        <w:jc w:val="right"/>
      </w:pPr>
      <w:rPr>
        <w:rFonts w:hint="default" w:ascii="Times New Roman" w:hAnsi="Times New Roman" w:eastAsia="Times New Roman" w:cs="Times New Roman"/>
        <w:b w:val="0"/>
        <w:bCs w:val="0"/>
        <w:i w:val="0"/>
        <w:iCs w:val="0"/>
        <w:spacing w:val="0"/>
        <w:w w:val="99"/>
        <w:sz w:val="16"/>
        <w:szCs w:val="16"/>
        <w:lang w:val="en-US" w:eastAsia="en-US" w:bidi="ar-SA"/>
      </w:rPr>
    </w:lvl>
    <w:lvl w:ilvl="1">
      <w:start w:val="0"/>
      <w:numFmt w:val="bullet"/>
      <w:lvlText w:val="•"/>
      <w:lvlJc w:val="left"/>
      <w:pPr>
        <w:ind w:left="707" w:hanging="200"/>
      </w:pPr>
      <w:rPr>
        <w:rFonts w:hint="default"/>
        <w:lang w:val="en-US" w:eastAsia="en-US" w:bidi="ar-SA"/>
      </w:rPr>
    </w:lvl>
    <w:lvl w:ilvl="2">
      <w:start w:val="0"/>
      <w:numFmt w:val="bullet"/>
      <w:lvlText w:val="•"/>
      <w:lvlJc w:val="left"/>
      <w:pPr>
        <w:ind w:left="1135" w:hanging="200"/>
      </w:pPr>
      <w:rPr>
        <w:rFonts w:hint="default"/>
        <w:lang w:val="en-US" w:eastAsia="en-US" w:bidi="ar-SA"/>
      </w:rPr>
    </w:lvl>
    <w:lvl w:ilvl="3">
      <w:start w:val="0"/>
      <w:numFmt w:val="bullet"/>
      <w:lvlText w:val="•"/>
      <w:lvlJc w:val="left"/>
      <w:pPr>
        <w:ind w:left="1563" w:hanging="200"/>
      </w:pPr>
      <w:rPr>
        <w:rFonts w:hint="default"/>
        <w:lang w:val="en-US" w:eastAsia="en-US" w:bidi="ar-SA"/>
      </w:rPr>
    </w:lvl>
    <w:lvl w:ilvl="4">
      <w:start w:val="0"/>
      <w:numFmt w:val="bullet"/>
      <w:lvlText w:val="•"/>
      <w:lvlJc w:val="left"/>
      <w:pPr>
        <w:ind w:left="1991" w:hanging="200"/>
      </w:pPr>
      <w:rPr>
        <w:rFonts w:hint="default"/>
        <w:lang w:val="en-US" w:eastAsia="en-US" w:bidi="ar-SA"/>
      </w:rPr>
    </w:lvl>
    <w:lvl w:ilvl="5">
      <w:start w:val="0"/>
      <w:numFmt w:val="bullet"/>
      <w:lvlText w:val="•"/>
      <w:lvlJc w:val="left"/>
      <w:pPr>
        <w:ind w:left="2418" w:hanging="200"/>
      </w:pPr>
      <w:rPr>
        <w:rFonts w:hint="default"/>
        <w:lang w:val="en-US" w:eastAsia="en-US" w:bidi="ar-SA"/>
      </w:rPr>
    </w:lvl>
    <w:lvl w:ilvl="6">
      <w:start w:val="0"/>
      <w:numFmt w:val="bullet"/>
      <w:lvlText w:val="•"/>
      <w:lvlJc w:val="left"/>
      <w:pPr>
        <w:ind w:left="2846" w:hanging="200"/>
      </w:pPr>
      <w:rPr>
        <w:rFonts w:hint="default"/>
        <w:lang w:val="en-US" w:eastAsia="en-US" w:bidi="ar-SA"/>
      </w:rPr>
    </w:lvl>
    <w:lvl w:ilvl="7">
      <w:start w:val="0"/>
      <w:numFmt w:val="bullet"/>
      <w:lvlText w:val="•"/>
      <w:lvlJc w:val="left"/>
      <w:pPr>
        <w:ind w:left="3274" w:hanging="200"/>
      </w:pPr>
      <w:rPr>
        <w:rFonts w:hint="default"/>
        <w:lang w:val="en-US" w:eastAsia="en-US" w:bidi="ar-SA"/>
      </w:rPr>
    </w:lvl>
    <w:lvl w:ilvl="8">
      <w:start w:val="0"/>
      <w:numFmt w:val="bullet"/>
      <w:lvlText w:val="•"/>
      <w:lvlJc w:val="left"/>
      <w:pPr>
        <w:ind w:left="3702" w:hanging="20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18"/>
      <w:szCs w:val="18"/>
      <w:lang w:val="en-US" w:eastAsia="en-US" w:bidi="ar-SA"/>
    </w:rPr>
  </w:style>
  <w:style w:styleId="Heading1" w:type="paragraph">
    <w:name w:val="Heading 1"/>
    <w:basedOn w:val="Normal"/>
    <w:uiPriority w:val="1"/>
    <w:qFormat/>
    <w:pPr>
      <w:jc w:val="center"/>
      <w:outlineLvl w:val="1"/>
    </w:pPr>
    <w:rPr>
      <w:rFonts w:ascii="Arial" w:hAnsi="Arial" w:eastAsia="Arial" w:cs="Arial"/>
      <w:sz w:val="20"/>
      <w:szCs w:val="20"/>
      <w:lang w:val="en-US" w:eastAsia="en-US" w:bidi="ar-SA"/>
    </w:rPr>
  </w:style>
  <w:style w:styleId="Title" w:type="paragraph">
    <w:name w:val="Title"/>
    <w:basedOn w:val="Normal"/>
    <w:uiPriority w:val="1"/>
    <w:qFormat/>
    <w:pPr>
      <w:spacing w:line="466" w:lineRule="exact"/>
    </w:pPr>
    <w:rPr>
      <w:rFonts w:ascii="Arial" w:hAnsi="Arial" w:eastAsia="Arial" w:cs="Arial"/>
      <w:sz w:val="48"/>
      <w:szCs w:val="48"/>
      <w:lang w:val="en-US" w:eastAsia="en-US" w:bidi="ar-SA"/>
    </w:rPr>
  </w:style>
  <w:style w:styleId="ListParagraph" w:type="paragraph">
    <w:name w:val="List Paragraph"/>
    <w:basedOn w:val="Normal"/>
    <w:uiPriority w:val="1"/>
    <w:qFormat/>
    <w:pPr>
      <w:ind w:left="286" w:hanging="279"/>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mhabek@mef.hr" TargetMode="External"/><Relationship Id="rId6" Type="http://schemas.openxmlformats.org/officeDocument/2006/relationships/hyperlink" Target="http://www.theneurologist.org/" TargetMode="External"/><Relationship Id="rId7" Type="http://schemas.openxmlformats.org/officeDocument/2006/relationships/image" Target="media/image1.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LWWUS_NRL_200551 287..289</dc:title>
  <dcterms:created xsi:type="dcterms:W3CDTF">2025-05-22T13:30:13Z</dcterms:created>
  <dcterms:modified xsi:type="dcterms:W3CDTF">2025-05-22T13:30:13Z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2012-08-16T00:00:00Z</vt:filetime>
  </property>
  <property fmtid="{D5CDD505-2E9C-101B-9397-08002B2CF9AE}" pid="3" name="Creator">
    <vt:lpwstr>Arbortext Advanced Print Publisher 9.0.226/W</vt:lpwstr>
  </property>
  <property fmtid="{D5CDD505-2E9C-101B-9397-08002B2CF9AE}" pid="4" name="LastSaved">
    <vt:filetime>2025-05-22T00:00:00Z</vt:filetime>
  </property>
  <property fmtid="{D5CDD505-2E9C-101B-9397-08002B2CF9AE}" pid="5" name="Producer">
    <vt:lpwstr>Acrobat Distiller 8.1.0 (Windows)</vt:lpwstr>
  </property>
</Properties>
</file>