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880" w:h="15660"/>
          <w:pgMar w:header="0" w:footer="145" w:top="0" w:bottom="340" w:left="720" w:right="720"/>
          <w:pgNumType w:start="1"/>
        </w:sectPr>
      </w:pPr>
    </w:p>
    <w:p>
      <w:pPr>
        <w:spacing w:before="116"/>
        <w:ind w:left="86" w:right="0" w:firstLine="0"/>
        <w:jc w:val="left"/>
        <w:rPr>
          <w:rFonts w:ascii="Arial"/>
          <w:i/>
          <w:sz w:val="16"/>
        </w:rPr>
      </w:pPr>
      <w:r>
        <w:rPr>
          <w:rFonts w:ascii="Arial"/>
          <w:color w:val="FFFFFF"/>
          <w:spacing w:val="-2"/>
          <w:w w:val="105"/>
          <w:sz w:val="16"/>
        </w:rPr>
        <w:t>NEURO</w:t>
      </w:r>
      <w:r>
        <w:rPr>
          <w:rFonts w:ascii="Arial"/>
          <w:i/>
          <w:color w:val="FFFFFF"/>
          <w:spacing w:val="-2"/>
          <w:w w:val="105"/>
          <w:sz w:val="16"/>
        </w:rPr>
        <w:t>IMAGES</w:t>
      </w:r>
    </w:p>
    <w:p>
      <w:pPr>
        <w:pStyle w:val="Title"/>
        <w:spacing w:line="235" w:lineRule="auto"/>
      </w:pPr>
      <w:r>
        <w:rPr/>
        <w:br w:type="column"/>
      </w:r>
      <w:r>
        <w:rPr>
          <w:color w:val="231F20"/>
          <w:spacing w:val="-4"/>
        </w:rPr>
        <w:t>Extensive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intracranial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calcifications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a </w:t>
      </w:r>
      <w:r>
        <w:rPr>
          <w:color w:val="231F20"/>
          <w:spacing w:val="-8"/>
        </w:rPr>
        <w:t>patient</w:t>
      </w:r>
      <w:r>
        <w:rPr>
          <w:color w:val="231F20"/>
          <w:spacing w:val="-22"/>
        </w:rPr>
        <w:t> </w:t>
      </w:r>
      <w:r>
        <w:rPr>
          <w:color w:val="231F20"/>
          <w:spacing w:val="-8"/>
        </w:rPr>
        <w:t>with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2"/>
        </w:rPr>
        <w:t> </w:t>
      </w:r>
      <w:r>
        <w:rPr>
          <w:color w:val="231F20"/>
          <w:spacing w:val="-8"/>
        </w:rPr>
        <w:t>novel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polymerase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gamma-</w:t>
      </w:r>
      <w:r>
        <w:rPr>
          <w:color w:val="231F20"/>
          <w:spacing w:val="-8"/>
        </w:rPr>
        <w:t>1 </w:t>
      </w:r>
      <w:r>
        <w:rPr>
          <w:color w:val="231F20"/>
          <w:spacing w:val="-2"/>
        </w:rPr>
        <w:t>mutation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1869833</wp:posOffset>
                </wp:positionH>
                <wp:positionV relativeFrom="paragraph">
                  <wp:posOffset>222976</wp:posOffset>
                </wp:positionV>
                <wp:extent cx="5161915" cy="2755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61915" cy="275590"/>
                          <a:chExt cx="5161915" cy="275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30"/>
                                </a:lnTo>
                                <a:lnTo>
                                  <a:pt x="9359" y="221030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0" y="221030"/>
                                </a:moveTo>
                                <a:lnTo>
                                  <a:pt x="0" y="0"/>
                                </a:lnTo>
                                <a:lnTo>
                                  <a:pt x="9359" y="0"/>
                                </a:lnTo>
                                <a:lnTo>
                                  <a:pt x="9359" y="22103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000" y="0"/>
                                </a:moveTo>
                                <a:lnTo>
                                  <a:pt x="33339" y="4251"/>
                                </a:lnTo>
                                <a:lnTo>
                                  <a:pt x="16065" y="16055"/>
                                </a:lnTo>
                                <a:lnTo>
                                  <a:pt x="4258" y="33332"/>
                                </a:lnTo>
                                <a:lnTo>
                                  <a:pt x="0" y="54000"/>
                                </a:lnTo>
                                <a:lnTo>
                                  <a:pt x="9359" y="54000"/>
                                </a:lnTo>
                                <a:lnTo>
                                  <a:pt x="12966" y="36599"/>
                                </a:lnTo>
                                <a:lnTo>
                                  <a:pt x="22488" y="22479"/>
                                </a:lnTo>
                                <a:lnTo>
                                  <a:pt x="36606" y="12959"/>
                                </a:lnTo>
                                <a:lnTo>
                                  <a:pt x="54000" y="9359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54000"/>
                                </a:moveTo>
                                <a:lnTo>
                                  <a:pt x="4258" y="33332"/>
                                </a:lnTo>
                                <a:lnTo>
                                  <a:pt x="16065" y="16055"/>
                                </a:lnTo>
                                <a:lnTo>
                                  <a:pt x="33339" y="4251"/>
                                </a:lnTo>
                                <a:lnTo>
                                  <a:pt x="54000" y="0"/>
                                </a:lnTo>
                                <a:lnTo>
                                  <a:pt x="54000" y="9359"/>
                                </a:lnTo>
                                <a:lnTo>
                                  <a:pt x="36606" y="12959"/>
                                </a:lnTo>
                                <a:lnTo>
                                  <a:pt x="22488" y="22479"/>
                                </a:lnTo>
                                <a:lnTo>
                                  <a:pt x="12966" y="36599"/>
                                </a:lnTo>
                                <a:lnTo>
                                  <a:pt x="9359" y="540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50536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5053685" y="9359"/>
                                </a:lnTo>
                                <a:lnTo>
                                  <a:pt x="505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0" y="0"/>
                                </a:moveTo>
                                <a:lnTo>
                                  <a:pt x="5053685" y="0"/>
                                </a:lnTo>
                                <a:lnTo>
                                  <a:pt x="5053685" y="9359"/>
                                </a:lnTo>
                                <a:lnTo>
                                  <a:pt x="0" y="93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107685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0"/>
                                </a:moveTo>
                                <a:lnTo>
                                  <a:pt x="0" y="9359"/>
                                </a:lnTo>
                                <a:lnTo>
                                  <a:pt x="17528" y="12984"/>
                                </a:lnTo>
                                <a:lnTo>
                                  <a:pt x="31630" y="22383"/>
                                </a:lnTo>
                                <a:lnTo>
                                  <a:pt x="41078" y="36431"/>
                                </a:lnTo>
                                <a:lnTo>
                                  <a:pt x="44640" y="54000"/>
                                </a:lnTo>
                                <a:lnTo>
                                  <a:pt x="54000" y="54000"/>
                                </a:lnTo>
                                <a:lnTo>
                                  <a:pt x="50181" y="33198"/>
                                </a:lnTo>
                                <a:lnTo>
                                  <a:pt x="38239" y="15908"/>
                                </a:lnTo>
                                <a:lnTo>
                                  <a:pt x="20678" y="4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107685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0"/>
                                </a:moveTo>
                                <a:lnTo>
                                  <a:pt x="20678" y="4163"/>
                                </a:lnTo>
                                <a:lnTo>
                                  <a:pt x="38239" y="15908"/>
                                </a:lnTo>
                                <a:lnTo>
                                  <a:pt x="50181" y="33198"/>
                                </a:lnTo>
                                <a:lnTo>
                                  <a:pt x="54000" y="54000"/>
                                </a:lnTo>
                                <a:lnTo>
                                  <a:pt x="44640" y="54000"/>
                                </a:lnTo>
                                <a:lnTo>
                                  <a:pt x="41078" y="36431"/>
                                </a:lnTo>
                                <a:lnTo>
                                  <a:pt x="31630" y="22383"/>
                                </a:lnTo>
                                <a:lnTo>
                                  <a:pt x="17528" y="12984"/>
                                </a:lnTo>
                                <a:lnTo>
                                  <a:pt x="0" y="93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152326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30"/>
                                </a:lnTo>
                                <a:lnTo>
                                  <a:pt x="9359" y="221030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52326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9359" y="221030"/>
                                </a:lnTo>
                                <a:lnTo>
                                  <a:pt x="0" y="221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0" y="0"/>
                                </a:moveTo>
                                <a:lnTo>
                                  <a:pt x="0" y="9359"/>
                                </a:lnTo>
                                <a:lnTo>
                                  <a:pt x="5053685" y="9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5053685" y="9359"/>
                                </a:moveTo>
                                <a:lnTo>
                                  <a:pt x="0" y="9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16191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2" w:val="left" w:leader="none"/>
                                </w:tabs>
                                <w:spacing w:before="143"/>
                                <w:ind w:left="17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643D"/>
                                  <w:w w:val="110"/>
                                  <w:sz w:val="14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pacing w:val="-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CT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head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demonstrates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profound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cerebellar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pontine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calcifications,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less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so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globus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10"/>
                                  <w:sz w:val="14"/>
                                </w:rPr>
                                <w:t>pallidus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231003pt;margin-top:17.557177pt;width:406.45pt;height:21.7pt;mso-position-horizontal-relative:page;mso-position-vertical-relative:paragraph;z-index:-15728640;mso-wrap-distance-left:0;mso-wrap-distance-right:0" id="docshapegroup2" coordorigin="2945,351" coordsize="8129,434">
                <v:rect style="position:absolute;left:2944;top:436;width:15;height:349" id="docshape3" filled="true" fillcolor="#00643d" stroked="false">
                  <v:fill type="solid"/>
                </v:rect>
                <v:shape style="position:absolute;left:2944;top:436;width:15;height:349" id="docshape4" coordorigin="2945,436" coordsize="15,349" path="m2945,784l2945,436,2959,436,2959,784e" filled="false" stroked="true" strokeweight="0pt" strokecolor="#00643d">
                  <v:path arrowok="t"/>
                  <v:stroke dashstyle="solid"/>
                </v:shape>
                <v:shape style="position:absolute;left:2944;top:351;width:86;height:86" id="docshape5" coordorigin="2945,351" coordsize="86,86" path="m3030,351l2997,358,2970,376,2951,404,2945,436,2959,436,2965,409,2980,387,3002,372,3030,366,3030,351xe" filled="true" fillcolor="#00643d" stroked="false">
                  <v:path arrowok="t"/>
                  <v:fill type="solid"/>
                </v:shape>
                <v:shape style="position:absolute;left:2944;top:351;width:86;height:86" id="docshape6" coordorigin="2945,351" coordsize="86,86" path="m2945,436l2951,404,2970,376,2997,358,3030,351,3030,366,3002,372,2980,387,2965,409,2959,436e" filled="false" stroked="true" strokeweight="0pt" strokecolor="#00643d">
                  <v:path arrowok="t"/>
                  <v:stroke dashstyle="solid"/>
                </v:shape>
                <v:rect style="position:absolute;left:3029;top:351;width:7959;height:15" id="docshape7" filled="true" fillcolor="#00643d" stroked="false">
                  <v:fill type="solid"/>
                </v:rect>
                <v:shape style="position:absolute;left:3029;top:351;width:7959;height:15" id="docshape8" coordorigin="3030,351" coordsize="7959,15" path="m3030,351l10988,351,10988,366,3030,366e" filled="false" stroked="true" strokeweight="0pt" strokecolor="#00643d">
                  <v:path arrowok="t"/>
                  <v:stroke dashstyle="solid"/>
                </v:shape>
                <v:shape style="position:absolute;left:10988;top:351;width:86;height:86" id="docshape9" coordorigin="10988,351" coordsize="86,86" path="m10988,351l10988,366,11016,372,11038,386,11053,409,11059,436,11073,436,11067,403,11048,376,11021,358,10988,351xe" filled="true" fillcolor="#00643d" stroked="false">
                  <v:path arrowok="t"/>
                  <v:fill type="solid"/>
                </v:shape>
                <v:shape style="position:absolute;left:10988;top:351;width:86;height:86" id="docshape10" coordorigin="10988,351" coordsize="86,86" path="m10988,351l11021,358,11048,376,11067,403,11073,436,11059,436,11053,409,11038,386,11016,372,10988,366e" filled="false" stroked="true" strokeweight="0pt" strokecolor="#00643d">
                  <v:path arrowok="t"/>
                  <v:stroke dashstyle="solid"/>
                </v:shape>
                <v:rect style="position:absolute;left:11058;top:436;width:15;height:349" id="docshape11" filled="true" fillcolor="#00643d" stroked="false">
                  <v:fill type="solid"/>
                </v:rect>
                <v:shape style="position:absolute;left:11058;top:436;width:15;height:349" id="docshape12" coordorigin="11059,436" coordsize="15,349" path="m11073,436l11073,784,11059,784,11059,436e" filled="false" stroked="true" strokeweight="0pt" strokecolor="#00643d">
                  <v:path arrowok="t"/>
                  <v:stroke dashstyle="solid"/>
                </v:shape>
                <v:shape style="position:absolute;left:3029;top:351;width:7959;height:15" id="docshape13" coordorigin="3030,351" coordsize="7959,15" path="m3030,351l3030,366,10988,366,3030,351xe" filled="true" fillcolor="#00643d" stroked="false">
                  <v:path arrowok="t"/>
                  <v:fill type="solid"/>
                </v:shape>
                <v:shape style="position:absolute;left:3029;top:351;width:7959;height:15" id="docshape14" coordorigin="3030,351" coordsize="7959,15" path="m10988,366l3030,366,3030,351e" filled="false" stroked="true" strokeweight="0pt" strokecolor="#00643d">
                  <v:path arrowok="t"/>
                  <v:stroke dashstyle="solid"/>
                </v:shape>
                <v:shape style="position:absolute;left:2944;top:351;width:8129;height:434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112" w:val="left" w:leader="none"/>
                          </w:tabs>
                          <w:spacing w:before="143"/>
                          <w:ind w:left="17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643D"/>
                            <w:w w:val="110"/>
                            <w:sz w:val="14"/>
                          </w:rPr>
                          <w:t>Figure</w:t>
                        </w:r>
                        <w:r>
                          <w:rPr>
                            <w:rFonts w:ascii="Arial"/>
                            <w:color w:val="00643D"/>
                            <w:spacing w:val="-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643D"/>
                            <w:spacing w:val="-10"/>
                            <w:w w:val="11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color w:val="00643D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CT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head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demonstrates</w:t>
                        </w:r>
                        <w:r>
                          <w:rPr>
                            <w:rFonts w:ascii="Arial"/>
                            <w:color w:val="231F20"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profound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cerebellar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pontine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calcifications,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less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so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globus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10"/>
                            <w:sz w:val="14"/>
                          </w:rPr>
                          <w:t>pallidus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2533679</wp:posOffset>
            </wp:positionH>
            <wp:positionV relativeFrom="paragraph">
              <wp:posOffset>637694</wp:posOffset>
            </wp:positionV>
            <wp:extent cx="3836256" cy="294436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256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spacing w:line="278" w:lineRule="auto" w:before="307"/>
        <w:ind w:left="86" w:right="83" w:firstLine="0"/>
        <w:jc w:val="both"/>
        <w:rPr>
          <w:sz w:val="19"/>
        </w:rPr>
      </w:pPr>
      <w:r>
        <w:rPr>
          <w:color w:val="231F20"/>
          <w:spacing w:val="-2"/>
          <w:sz w:val="19"/>
        </w:rPr>
        <w:t>A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55-year-old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woman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presented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to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our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center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with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an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almost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lifelong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action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tremor,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associated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with</w:t>
      </w:r>
      <w:r>
        <w:rPr>
          <w:color w:val="231F20"/>
          <w:spacing w:val="-10"/>
          <w:sz w:val="19"/>
        </w:rPr>
        <w:t> </w:t>
      </w:r>
      <w:r>
        <w:rPr>
          <w:color w:val="231F20"/>
          <w:spacing w:val="-2"/>
          <w:sz w:val="19"/>
        </w:rPr>
        <w:t>peripheral neuropathy,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progressive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sensorineural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2"/>
          <w:sz w:val="19"/>
        </w:rPr>
        <w:t>hearing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loss,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and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2"/>
          <w:sz w:val="19"/>
        </w:rPr>
        <w:t>a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strong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family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2"/>
          <w:sz w:val="19"/>
        </w:rPr>
        <w:t>history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tremor.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CT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5"/>
          <w:sz w:val="19"/>
        </w:rPr>
        <w:t> </w:t>
      </w:r>
      <w:r>
        <w:rPr>
          <w:color w:val="231F20"/>
          <w:spacing w:val="-2"/>
          <w:sz w:val="19"/>
        </w:rPr>
        <w:t>brain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2"/>
          <w:sz w:val="19"/>
        </w:rPr>
        <w:t>was notable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for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extensive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intracranial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calcifications,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much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more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prominent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dentate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nucleus,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cerebellar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hemi- </w:t>
      </w:r>
      <w:r>
        <w:rPr>
          <w:color w:val="231F20"/>
          <w:sz w:val="19"/>
        </w:rPr>
        <w:t>spheres, and midpons, compared to the globus pallidus (figure 1). T1-weighted MRI demonstrated </w:t>
      </w:r>
      <w:r>
        <w:rPr>
          <w:color w:val="231F20"/>
          <w:sz w:val="19"/>
        </w:rPr>
        <w:t>hypo- </w:t>
      </w:r>
      <w:r>
        <w:rPr>
          <w:color w:val="231F20"/>
          <w:spacing w:val="-2"/>
          <w:sz w:val="19"/>
        </w:rPr>
        <w:t>intense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signal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aforementioned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areas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(figure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2).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Polymerase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gamma-1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(</w:t>
      </w:r>
      <w:r>
        <w:rPr>
          <w:i/>
          <w:color w:val="231F20"/>
          <w:spacing w:val="-2"/>
          <w:sz w:val="19"/>
        </w:rPr>
        <w:t>POLG1</w:t>
      </w:r>
      <w:r>
        <w:rPr>
          <w:color w:val="231F20"/>
          <w:spacing w:val="-2"/>
          <w:sz w:val="19"/>
        </w:rPr>
        <w:t>)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gene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analysis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revealed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a </w:t>
      </w:r>
      <w:r>
        <w:rPr>
          <w:color w:val="231F20"/>
          <w:sz w:val="19"/>
        </w:rPr>
        <w:t>novel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heterozygous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sequence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variant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-7"/>
          <w:sz w:val="19"/>
        </w:rPr>
        <w:t> </w:t>
      </w:r>
      <w:r>
        <w:rPr>
          <w:color w:val="231F20"/>
          <w:w w:val="110"/>
          <w:sz w:val="19"/>
        </w:rPr>
        <w:t>c3239G</w:t>
      </w:r>
      <w:r>
        <w:rPr>
          <w:rFonts w:ascii="Arial"/>
          <w:color w:val="231F20"/>
          <w:w w:val="110"/>
          <w:sz w:val="19"/>
        </w:rPr>
        <w:t>.</w:t>
      </w:r>
      <w:r>
        <w:rPr>
          <w:rFonts w:ascii="Arial"/>
          <w:color w:val="231F20"/>
          <w:spacing w:val="-15"/>
          <w:w w:val="110"/>
          <w:sz w:val="19"/>
        </w:rPr>
        <w:t> </w:t>
      </w:r>
      <w:r>
        <w:rPr>
          <w:color w:val="231F20"/>
          <w:sz w:val="19"/>
        </w:rPr>
        <w:t>c;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p.Ser1080Thr.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Similar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diffuse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intracranial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calcification </w:t>
      </w:r>
      <w:r>
        <w:rPr>
          <w:color w:val="231F20"/>
          <w:spacing w:val="-2"/>
          <w:sz w:val="19"/>
        </w:rPr>
        <w:t>can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be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seen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a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variety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disorders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including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idiopathic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basal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ganglia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calcifications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and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2"/>
          <w:sz w:val="19"/>
        </w:rPr>
        <w:t>spinocerebellar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ataxia</w:t>
      </w:r>
    </w:p>
    <w:p>
      <w:pPr>
        <w:spacing w:line="278" w:lineRule="auto" w:before="3"/>
        <w:ind w:left="86" w:right="84" w:firstLine="0"/>
        <w:jc w:val="both"/>
        <w:rPr>
          <w:sz w:val="19"/>
        </w:rPr>
      </w:pPr>
      <w:r>
        <w:rPr>
          <w:color w:val="231F20"/>
          <w:spacing w:val="-2"/>
          <w:sz w:val="19"/>
        </w:rPr>
        <w:t>20.</w:t>
      </w:r>
      <w:r>
        <w:rPr>
          <w:color w:val="231F20"/>
          <w:spacing w:val="-2"/>
          <w:position w:val="7"/>
          <w:sz w:val="11"/>
        </w:rPr>
        <w:t>1</w:t>
      </w:r>
      <w:r>
        <w:rPr>
          <w:color w:val="231F20"/>
          <w:spacing w:val="11"/>
          <w:position w:val="7"/>
          <w:sz w:val="11"/>
        </w:rPr>
        <w:t> </w:t>
      </w:r>
      <w:r>
        <w:rPr>
          <w:color w:val="231F20"/>
          <w:spacing w:val="-2"/>
          <w:sz w:val="19"/>
        </w:rPr>
        <w:t>Mitochondrial</w:t>
      </w:r>
      <w:r>
        <w:rPr>
          <w:color w:val="231F20"/>
          <w:spacing w:val="-8"/>
          <w:sz w:val="19"/>
        </w:rPr>
        <w:t> </w:t>
      </w:r>
      <w:r>
        <w:rPr>
          <w:color w:val="231F20"/>
          <w:spacing w:val="-2"/>
          <w:sz w:val="19"/>
        </w:rPr>
        <w:t>disorders</w:t>
      </w:r>
      <w:r>
        <w:rPr>
          <w:color w:val="231F20"/>
          <w:spacing w:val="-2"/>
          <w:sz w:val="19"/>
          <w:vertAlign w:val="superscript"/>
        </w:rPr>
        <w:t>2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are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a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well-recognized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cause;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however,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to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our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knowledge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this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is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the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first</w:t>
      </w:r>
      <w:r>
        <w:rPr>
          <w:color w:val="231F20"/>
          <w:spacing w:val="-8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time</w:t>
      </w:r>
      <w:r>
        <w:rPr>
          <w:color w:val="231F20"/>
          <w:spacing w:val="-9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that </w:t>
      </w:r>
      <w:r>
        <w:rPr>
          <w:color w:val="231F20"/>
          <w:sz w:val="19"/>
          <w:vertAlign w:val="baseline"/>
        </w:rPr>
        <w:t>such extensive intracranial calcium deposits have been described in a patient with a </w:t>
      </w:r>
      <w:r>
        <w:rPr>
          <w:i/>
          <w:color w:val="231F20"/>
          <w:sz w:val="19"/>
          <w:vertAlign w:val="baseline"/>
        </w:rPr>
        <w:t>POLG1 </w:t>
      </w:r>
      <w:r>
        <w:rPr>
          <w:color w:val="231F20"/>
          <w:sz w:val="19"/>
          <w:vertAlign w:val="baseline"/>
        </w:rPr>
        <w:t>mutation.</w:t>
      </w:r>
    </w:p>
    <w:p>
      <w:pPr>
        <w:spacing w:after="0" w:line="278" w:lineRule="auto"/>
        <w:jc w:val="both"/>
        <w:rPr>
          <w:sz w:val="19"/>
        </w:rPr>
        <w:sectPr>
          <w:type w:val="continuous"/>
          <w:pgSz w:w="11880" w:h="15660"/>
          <w:pgMar w:header="0" w:footer="145" w:top="0" w:bottom="340" w:left="720" w:right="720"/>
          <w:cols w:num="2" w:equalWidth="0">
            <w:col w:w="1470" w:space="668"/>
            <w:col w:w="8302"/>
          </w:cols>
        </w:sect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37689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43800" cy="1837689"/>
                          <a:chExt cx="7543800" cy="1837689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37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54380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1743075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2541"/>
                                </a:lnTo>
                                <a:lnTo>
                                  <a:pt x="1743773" y="1742541"/>
                                </a:lnTo>
                                <a:lnTo>
                                  <a:pt x="1743773" y="408279"/>
                                </a:lnTo>
                                <a:lnTo>
                                  <a:pt x="1746767" y="393454"/>
                                </a:lnTo>
                                <a:lnTo>
                                  <a:pt x="1754932" y="381343"/>
                                </a:lnTo>
                                <a:lnTo>
                                  <a:pt x="1767042" y="373175"/>
                                </a:lnTo>
                                <a:lnTo>
                                  <a:pt x="1781873" y="370179"/>
                                </a:lnTo>
                                <a:lnTo>
                                  <a:pt x="7543800" y="370179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  <a:path w="7543800" h="1743075">
                                <a:moveTo>
                                  <a:pt x="7543800" y="370179"/>
                                </a:moveTo>
                                <a:lnTo>
                                  <a:pt x="7007072" y="370179"/>
                                </a:lnTo>
                                <a:lnTo>
                                  <a:pt x="7021903" y="373175"/>
                                </a:lnTo>
                                <a:lnTo>
                                  <a:pt x="7034014" y="381343"/>
                                </a:lnTo>
                                <a:lnTo>
                                  <a:pt x="7042178" y="393454"/>
                                </a:lnTo>
                                <a:lnTo>
                                  <a:pt x="7045172" y="408279"/>
                                </a:lnTo>
                                <a:lnTo>
                                  <a:pt x="7045172" y="1704124"/>
                                </a:lnTo>
                                <a:lnTo>
                                  <a:pt x="7048166" y="1718960"/>
                                </a:lnTo>
                                <a:lnTo>
                                  <a:pt x="7056331" y="1731070"/>
                                </a:lnTo>
                                <a:lnTo>
                                  <a:pt x="7068441" y="1739232"/>
                                </a:lnTo>
                                <a:lnTo>
                                  <a:pt x="7083272" y="1742224"/>
                                </a:lnTo>
                                <a:lnTo>
                                  <a:pt x="7543800" y="1742224"/>
                                </a:lnTo>
                                <a:lnTo>
                                  <a:pt x="7543800" y="370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4pt;height:144.7pt;mso-position-horizontal-relative:page;mso-position-vertical-relative:page;z-index:-15806464" id="docshapegroup16" coordorigin="0,0" coordsize="11880,2894">
                <v:shape style="position:absolute;left:0;top:0;width:11880;height:2894" type="#_x0000_t75" id="docshape17" stroked="false">
                  <v:imagedata r:id="rId7" o:title=""/>
                </v:shape>
                <v:shape style="position:absolute;left:0;top:0;width:11880;height:2745" id="docshape18" coordorigin="0,0" coordsize="11880,2745" path="m11880,0l0,0,0,2744,2746,2744,2746,643,2751,620,2764,601,2783,588,2806,583,11880,583,11880,0xm11880,583l11035,583,11058,588,11077,601,11090,620,11095,643,11095,2684,11099,2707,11112,2726,11131,2739,11155,2744,11880,2744,11880,583xe" filled="true" fillcolor="#00643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2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61915" cy="275590"/>
                <wp:effectExtent l="0" t="0" r="0" b="63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161915" cy="275590"/>
                          <a:chExt cx="5161915" cy="2755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43"/>
                                </a:lnTo>
                                <a:lnTo>
                                  <a:pt x="9359" y="221043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0" y="221043"/>
                                </a:moveTo>
                                <a:lnTo>
                                  <a:pt x="0" y="0"/>
                                </a:lnTo>
                                <a:lnTo>
                                  <a:pt x="9359" y="0"/>
                                </a:lnTo>
                                <a:lnTo>
                                  <a:pt x="9359" y="22104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000" y="0"/>
                                </a:moveTo>
                                <a:lnTo>
                                  <a:pt x="33082" y="3997"/>
                                </a:lnTo>
                                <a:lnTo>
                                  <a:pt x="15808" y="15741"/>
                                </a:lnTo>
                                <a:lnTo>
                                  <a:pt x="4129" y="33114"/>
                                </a:lnTo>
                                <a:lnTo>
                                  <a:pt x="0" y="54000"/>
                                </a:lnTo>
                                <a:lnTo>
                                  <a:pt x="9359" y="54000"/>
                                </a:lnTo>
                                <a:lnTo>
                                  <a:pt x="12784" y="36772"/>
                                </a:lnTo>
                                <a:lnTo>
                                  <a:pt x="22431" y="22312"/>
                                </a:lnTo>
                                <a:lnTo>
                                  <a:pt x="36702" y="12536"/>
                                </a:lnTo>
                                <a:lnTo>
                                  <a:pt x="54000" y="9359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54000"/>
                                </a:moveTo>
                                <a:lnTo>
                                  <a:pt x="4129" y="33114"/>
                                </a:lnTo>
                                <a:lnTo>
                                  <a:pt x="15808" y="15741"/>
                                </a:lnTo>
                                <a:lnTo>
                                  <a:pt x="33082" y="3997"/>
                                </a:lnTo>
                                <a:lnTo>
                                  <a:pt x="54000" y="0"/>
                                </a:lnTo>
                                <a:lnTo>
                                  <a:pt x="54000" y="9359"/>
                                </a:lnTo>
                                <a:lnTo>
                                  <a:pt x="36702" y="12536"/>
                                </a:lnTo>
                                <a:lnTo>
                                  <a:pt x="22431" y="22312"/>
                                </a:lnTo>
                                <a:lnTo>
                                  <a:pt x="12784" y="36772"/>
                                </a:lnTo>
                                <a:lnTo>
                                  <a:pt x="9359" y="540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50536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5053685" y="9359"/>
                                </a:lnTo>
                                <a:lnTo>
                                  <a:pt x="5053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0" y="0"/>
                                </a:moveTo>
                                <a:lnTo>
                                  <a:pt x="5053685" y="0"/>
                                </a:lnTo>
                                <a:lnTo>
                                  <a:pt x="5053685" y="9359"/>
                                </a:lnTo>
                                <a:lnTo>
                                  <a:pt x="0" y="93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107685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0"/>
                                </a:moveTo>
                                <a:lnTo>
                                  <a:pt x="0" y="9359"/>
                                </a:lnTo>
                                <a:lnTo>
                                  <a:pt x="17563" y="12636"/>
                                </a:lnTo>
                                <a:lnTo>
                                  <a:pt x="31726" y="22188"/>
                                </a:lnTo>
                                <a:lnTo>
                                  <a:pt x="41185" y="36486"/>
                                </a:lnTo>
                                <a:lnTo>
                                  <a:pt x="44640" y="54000"/>
                                </a:lnTo>
                                <a:lnTo>
                                  <a:pt x="54000" y="54000"/>
                                </a:lnTo>
                                <a:lnTo>
                                  <a:pt x="50118" y="32882"/>
                                </a:lnTo>
                                <a:lnTo>
                                  <a:pt x="38454" y="15570"/>
                                </a:lnTo>
                                <a:lnTo>
                                  <a:pt x="21062" y="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107685" y="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0"/>
                                </a:moveTo>
                                <a:lnTo>
                                  <a:pt x="21062" y="3972"/>
                                </a:lnTo>
                                <a:lnTo>
                                  <a:pt x="38454" y="15570"/>
                                </a:lnTo>
                                <a:lnTo>
                                  <a:pt x="50118" y="32882"/>
                                </a:lnTo>
                                <a:lnTo>
                                  <a:pt x="54000" y="54000"/>
                                </a:lnTo>
                                <a:lnTo>
                                  <a:pt x="44640" y="54000"/>
                                </a:lnTo>
                                <a:lnTo>
                                  <a:pt x="41185" y="36486"/>
                                </a:lnTo>
                                <a:lnTo>
                                  <a:pt x="31726" y="22188"/>
                                </a:lnTo>
                                <a:lnTo>
                                  <a:pt x="17563" y="12636"/>
                                </a:lnTo>
                                <a:lnTo>
                                  <a:pt x="0" y="935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152326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43"/>
                                </a:lnTo>
                                <a:lnTo>
                                  <a:pt x="9359" y="221043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152326" y="54000"/>
                            <a:ext cx="952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1615">
                                <a:moveTo>
                                  <a:pt x="9359" y="0"/>
                                </a:moveTo>
                                <a:lnTo>
                                  <a:pt x="9359" y="221043"/>
                                </a:lnTo>
                                <a:lnTo>
                                  <a:pt x="0" y="2210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0" y="0"/>
                                </a:moveTo>
                                <a:lnTo>
                                  <a:pt x="0" y="9359"/>
                                </a:lnTo>
                                <a:lnTo>
                                  <a:pt x="5053685" y="9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000" y="0"/>
                            <a:ext cx="5053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965" h="9525">
                                <a:moveTo>
                                  <a:pt x="5053685" y="9359"/>
                                </a:moveTo>
                                <a:lnTo>
                                  <a:pt x="0" y="9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64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16191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4" w:val="left" w:leader="none"/>
                                </w:tabs>
                                <w:spacing w:before="142"/>
                                <w:ind w:left="17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643D"/>
                                  <w:w w:val="110"/>
                                  <w:sz w:val="14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pacing w:val="-10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00643D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T1-weighted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MRI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brain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shows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hypointense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signal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globus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pallidus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10"/>
                                  <w:sz w:val="14"/>
                                </w:rPr>
                                <w:t>midpons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6.45pt;height:21.7pt;mso-position-horizontal-relative:char;mso-position-vertical-relative:line" id="docshapegroup19" coordorigin="0,0" coordsize="8129,434">
                <v:rect style="position:absolute;left:0;top:85;width:15;height:349" id="docshape20" filled="true" fillcolor="#00643d" stroked="false">
                  <v:fill type="solid"/>
                </v:rect>
                <v:shape style="position:absolute;left:0;top:85;width:15;height:349" id="docshape21" coordorigin="0,85" coordsize="15,349" path="m0,433l0,85,15,85,15,433e" filled="false" stroked="true" strokeweight="0pt" strokecolor="#00643d">
                  <v:path arrowok="t"/>
                  <v:stroke dashstyle="solid"/>
                </v:shape>
                <v:shape style="position:absolute;left:0;top:0;width:86;height:86" id="docshape22" coordorigin="0,0" coordsize="86,86" path="m85,0l52,6,25,25,7,52,0,85,15,85,20,58,35,35,58,20,85,15,85,0xe" filled="true" fillcolor="#00643d" stroked="false">
                  <v:path arrowok="t"/>
                  <v:fill type="solid"/>
                </v:shape>
                <v:shape style="position:absolute;left:0;top:0;width:86;height:86" id="docshape23" coordorigin="0,0" coordsize="86,86" path="m0,85l7,52,25,25,52,6,85,0,85,15,58,20,35,35,20,58,15,85e" filled="false" stroked="true" strokeweight="0pt" strokecolor="#00643d">
                  <v:path arrowok="t"/>
                  <v:stroke dashstyle="solid"/>
                </v:shape>
                <v:rect style="position:absolute;left:85;top:0;width:7959;height:15" id="docshape24" filled="true" fillcolor="#00643d" stroked="false">
                  <v:fill type="solid"/>
                </v:rect>
                <v:shape style="position:absolute;left:85;top:0;width:7959;height:15" id="docshape25" coordorigin="85,0" coordsize="7959,15" path="m85,0l8044,0,8044,15,85,15e" filled="false" stroked="true" strokeweight="0pt" strokecolor="#00643d">
                  <v:path arrowok="t"/>
                  <v:stroke dashstyle="solid"/>
                </v:shape>
                <v:shape style="position:absolute;left:8043;top:0;width:86;height:86" id="docshape26" coordorigin="8044,0" coordsize="86,86" path="m8044,0l8044,15,8071,20,8094,35,8108,57,8114,85,8129,85,8123,52,8104,25,8077,6,8044,0xe" filled="true" fillcolor="#00643d" stroked="false">
                  <v:path arrowok="t"/>
                  <v:fill type="solid"/>
                </v:shape>
                <v:shape style="position:absolute;left:8043;top:0;width:86;height:86" id="docshape27" coordorigin="8044,0" coordsize="86,86" path="m8044,0l8077,6,8104,25,8123,52,8129,85,8114,85,8108,57,8094,35,8071,20,8044,15e" filled="false" stroked="true" strokeweight="0pt" strokecolor="#00643d">
                  <v:path arrowok="t"/>
                  <v:stroke dashstyle="solid"/>
                </v:shape>
                <v:rect style="position:absolute;left:8113;top:85;width:15;height:349" id="docshape28" filled="true" fillcolor="#00643d" stroked="false">
                  <v:fill type="solid"/>
                </v:rect>
                <v:shape style="position:absolute;left:8113;top:85;width:15;height:349" id="docshape29" coordorigin="8114,85" coordsize="15,349" path="m8129,85l8129,433,8114,433,8114,85e" filled="false" stroked="true" strokeweight="0pt" strokecolor="#00643d">
                  <v:path arrowok="t"/>
                  <v:stroke dashstyle="solid"/>
                </v:shape>
                <v:shape style="position:absolute;left:85;top:0;width:7959;height:15" id="docshape30" coordorigin="85,0" coordsize="7959,15" path="m85,0l85,15,8044,15,85,0xe" filled="true" fillcolor="#00643d" stroked="false">
                  <v:path arrowok="t"/>
                  <v:fill type="solid"/>
                </v:shape>
                <v:shape style="position:absolute;left:85;top:0;width:7959;height:15" id="docshape31" coordorigin="85,0" coordsize="7959,15" path="m8044,15l85,15,85,0e" filled="false" stroked="true" strokeweight="0pt" strokecolor="#00643d">
                  <v:path arrowok="t"/>
                  <v:stroke dashstyle="solid"/>
                </v:shape>
                <v:shape style="position:absolute;left:0;top:0;width:8129;height:434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1114" w:val="left" w:leader="none"/>
                          </w:tabs>
                          <w:spacing w:before="142"/>
                          <w:ind w:left="17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643D"/>
                            <w:w w:val="110"/>
                            <w:sz w:val="14"/>
                          </w:rPr>
                          <w:t>Figure</w:t>
                        </w:r>
                        <w:r>
                          <w:rPr>
                            <w:rFonts w:ascii="Arial"/>
                            <w:color w:val="00643D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643D"/>
                            <w:spacing w:val="-10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color w:val="00643D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T1-weighted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MRI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brain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shows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hypointense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signal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globus</w:t>
                        </w:r>
                        <w:r>
                          <w:rPr>
                            <w:rFonts w:ascii="Arial"/>
                            <w:color w:val="231F20"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pallidus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0"/>
                            <w:sz w:val="14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10"/>
                            <w:sz w:val="14"/>
                          </w:rPr>
                          <w:t>midpons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2625839</wp:posOffset>
            </wp:positionH>
            <wp:positionV relativeFrom="paragraph">
              <wp:posOffset>115555</wp:posOffset>
            </wp:positionV>
            <wp:extent cx="3658051" cy="1859279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051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rPr>
          <w:sz w:val="14"/>
        </w:rPr>
      </w:pPr>
    </w:p>
    <w:p>
      <w:pPr>
        <w:tabs>
          <w:tab w:pos="10351" w:val="right" w:leader="none"/>
        </w:tabs>
        <w:spacing w:before="0"/>
        <w:ind w:left="640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231F20"/>
          <w:w w:val="110"/>
          <w:sz w:val="14"/>
        </w:rPr>
        <w:t>©</w:t>
      </w:r>
      <w:r>
        <w:rPr>
          <w:rFonts w:ascii="Arial" w:hAnsi="Arial"/>
          <w:color w:val="231F20"/>
          <w:spacing w:val="-1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2013</w:t>
      </w:r>
      <w:r>
        <w:rPr>
          <w:rFonts w:ascii="Arial" w:hAnsi="Arial"/>
          <w:color w:val="231F20"/>
          <w:spacing w:val="1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American Academy</w:t>
      </w:r>
      <w:r>
        <w:rPr>
          <w:rFonts w:ascii="Arial" w:hAnsi="Arial"/>
          <w:color w:val="231F20"/>
          <w:spacing w:val="1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of</w:t>
      </w:r>
      <w:r>
        <w:rPr>
          <w:rFonts w:ascii="Arial" w:hAnsi="Arial"/>
          <w:color w:val="231F20"/>
          <w:spacing w:val="-1"/>
          <w:w w:val="110"/>
          <w:sz w:val="14"/>
        </w:rPr>
        <w:t> </w:t>
      </w:r>
      <w:r>
        <w:rPr>
          <w:rFonts w:ascii="Arial" w:hAnsi="Arial"/>
          <w:color w:val="231F20"/>
          <w:spacing w:val="-2"/>
          <w:w w:val="110"/>
          <w:sz w:val="14"/>
        </w:rPr>
        <w:t>Neurology</w:t>
      </w:r>
      <w:r>
        <w:rPr>
          <w:color w:val="231F20"/>
          <w:sz w:val="14"/>
        </w:rPr>
        <w:tab/>
      </w:r>
      <w:r>
        <w:rPr>
          <w:rFonts w:ascii="Arial" w:hAnsi="Arial"/>
          <w:color w:val="00643D"/>
          <w:spacing w:val="-5"/>
          <w:w w:val="110"/>
          <w:sz w:val="14"/>
        </w:rPr>
        <w:t>197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880" w:h="15660"/>
          <w:pgMar w:header="0" w:footer="145" w:top="0" w:bottom="340" w:left="720" w:right="720"/>
        </w:sectPr>
      </w:pPr>
    </w:p>
    <w:p>
      <w:pPr>
        <w:spacing w:before="58"/>
        <w:ind w:left="2224" w:right="0" w:firstLine="0"/>
        <w:jc w:val="both"/>
        <w:rPr>
          <w:i/>
          <w:sz w:val="19"/>
        </w:rPr>
      </w:pPr>
      <w:r>
        <w:rPr>
          <w:i/>
          <w:color w:val="231F20"/>
          <w:spacing w:val="-2"/>
          <w:sz w:val="19"/>
        </w:rPr>
        <w:t>Christos</w:t>
      </w:r>
      <w:r>
        <w:rPr>
          <w:i/>
          <w:color w:val="231F20"/>
          <w:spacing w:val="-8"/>
          <w:sz w:val="19"/>
        </w:rPr>
        <w:t> </w:t>
      </w:r>
      <w:r>
        <w:rPr>
          <w:i/>
          <w:color w:val="231F20"/>
          <w:spacing w:val="-2"/>
          <w:sz w:val="19"/>
        </w:rPr>
        <w:t>Sidiropoulos,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MD,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Elena</w:t>
      </w:r>
      <w:r>
        <w:rPr>
          <w:i/>
          <w:color w:val="231F20"/>
          <w:spacing w:val="-8"/>
          <w:sz w:val="19"/>
        </w:rPr>
        <w:t> </w:t>
      </w:r>
      <w:r>
        <w:rPr>
          <w:i/>
          <w:color w:val="231F20"/>
          <w:spacing w:val="-2"/>
          <w:sz w:val="19"/>
        </w:rPr>
        <w:t>Moro,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MD,</w:t>
      </w:r>
      <w:r>
        <w:rPr>
          <w:i/>
          <w:color w:val="231F20"/>
          <w:spacing w:val="-8"/>
          <w:sz w:val="19"/>
        </w:rPr>
        <w:t> </w:t>
      </w:r>
      <w:r>
        <w:rPr>
          <w:i/>
          <w:color w:val="231F20"/>
          <w:spacing w:val="-2"/>
          <w:sz w:val="19"/>
        </w:rPr>
        <w:t>PhD,</w:t>
      </w:r>
      <w:r>
        <w:rPr>
          <w:i/>
          <w:color w:val="231F20"/>
          <w:spacing w:val="-8"/>
          <w:sz w:val="19"/>
        </w:rPr>
        <w:t> </w:t>
      </w:r>
      <w:r>
        <w:rPr>
          <w:i/>
          <w:color w:val="231F20"/>
          <w:spacing w:val="-2"/>
          <w:sz w:val="19"/>
        </w:rPr>
        <w:t>Anthony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E.</w:t>
      </w:r>
      <w:r>
        <w:rPr>
          <w:i/>
          <w:color w:val="231F20"/>
          <w:spacing w:val="-8"/>
          <w:sz w:val="19"/>
        </w:rPr>
        <w:t> </w:t>
      </w:r>
      <w:r>
        <w:rPr>
          <w:i/>
          <w:color w:val="231F20"/>
          <w:spacing w:val="-2"/>
          <w:sz w:val="19"/>
        </w:rPr>
        <w:t>Lang,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MD,</w:t>
      </w:r>
      <w:r>
        <w:rPr>
          <w:i/>
          <w:color w:val="231F20"/>
          <w:spacing w:val="-7"/>
          <w:sz w:val="19"/>
        </w:rPr>
        <w:t> </w:t>
      </w:r>
      <w:r>
        <w:rPr>
          <w:i/>
          <w:color w:val="231F20"/>
          <w:spacing w:val="-2"/>
          <w:sz w:val="19"/>
        </w:rPr>
        <w:t>FRCPC</w:t>
      </w:r>
    </w:p>
    <w:p>
      <w:pPr>
        <w:pStyle w:val="BodyText"/>
        <w:spacing w:line="259" w:lineRule="auto" w:before="167"/>
        <w:ind w:left="2224" w:right="83"/>
        <w:jc w:val="both"/>
      </w:pP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Morton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Gloria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Shulman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Movement Disorders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Clinic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Edmond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J.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Safra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Parkinson</w:t>
      </w:r>
      <w:r>
        <w:rPr>
          <w:rFonts w:ascii="Arial" w:hAnsi="Arial"/>
          <w:color w:val="231F20"/>
          <w:spacing w:val="-2"/>
        </w:rPr>
        <w:t>’</w:t>
      </w:r>
      <w:r>
        <w:rPr>
          <w:color w:val="231F20"/>
          <w:spacing w:val="-2"/>
        </w:rPr>
        <w:t>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Disease (C.S.,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E.M., A.E.L.), Toronto Western Hospital, Toronto, Canada; Parkinson</w:t>
      </w:r>
      <w:r>
        <w:rPr>
          <w:rFonts w:ascii="Arial" w:hAnsi="Arial"/>
          <w:color w:val="231F20"/>
          <w:spacing w:val="-2"/>
        </w:rPr>
        <w:t>’</w:t>
      </w:r>
      <w:r>
        <w:rPr>
          <w:color w:val="231F20"/>
          <w:spacing w:val="-2"/>
        </w:rPr>
        <w:t>s Disease and Movement Disorders Program (C.S.), Henry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Ford Hospital, West Bloomfield, MI; and Department of Psychiatry and Neurology, Movement Disorders Unit (E.M.), University</w:t>
      </w:r>
      <w:r>
        <w:rPr>
          <w:color w:val="231F20"/>
          <w:spacing w:val="40"/>
        </w:rPr>
        <w:t> </w:t>
      </w:r>
      <w:r>
        <w:rPr>
          <w:color w:val="231F20"/>
        </w:rPr>
        <w:t>Hospital Center (CHU) of Grenoble, Grenoble, France.</w:t>
      </w:r>
    </w:p>
    <w:p>
      <w:pPr>
        <w:pStyle w:val="BodyText"/>
        <w:spacing w:line="259" w:lineRule="auto" w:before="101"/>
        <w:ind w:left="2224" w:right="84"/>
        <w:jc w:val="both"/>
      </w:pPr>
      <w:r>
        <w:rPr>
          <w:i/>
          <w:color w:val="231F20"/>
          <w:spacing w:val="-6"/>
        </w:rPr>
        <w:t>Author</w:t>
      </w:r>
      <w:r>
        <w:rPr>
          <w:i/>
          <w:color w:val="231F20"/>
        </w:rPr>
        <w:t> </w:t>
      </w:r>
      <w:r>
        <w:rPr>
          <w:i/>
          <w:color w:val="231F20"/>
          <w:spacing w:val="-6"/>
        </w:rPr>
        <w:t>contributions</w:t>
      </w:r>
      <w:r>
        <w:rPr>
          <w:color w:val="231F20"/>
          <w:spacing w:val="-6"/>
        </w:rPr>
        <w:t>:</w:t>
      </w:r>
      <w:r>
        <w:rPr>
          <w:color w:val="231F20"/>
        </w:rPr>
        <w:t> </w:t>
      </w:r>
      <w:r>
        <w:rPr>
          <w:color w:val="231F20"/>
          <w:spacing w:val="-6"/>
        </w:rPr>
        <w:t>Dr.</w:t>
      </w:r>
      <w:r>
        <w:rPr>
          <w:color w:val="231F20"/>
        </w:rPr>
        <w:t> </w:t>
      </w:r>
      <w:r>
        <w:rPr>
          <w:color w:val="231F20"/>
          <w:spacing w:val="-6"/>
        </w:rPr>
        <w:t>Sidiropoulos:</w:t>
      </w:r>
      <w:r>
        <w:rPr>
          <w:color w:val="231F20"/>
        </w:rPr>
        <w:t> </w:t>
      </w:r>
      <w:r>
        <w:rPr>
          <w:color w:val="231F20"/>
          <w:spacing w:val="-6"/>
        </w:rPr>
        <w:t>study</w:t>
      </w:r>
      <w:r>
        <w:rPr>
          <w:color w:val="231F20"/>
        </w:rPr>
        <w:t> </w:t>
      </w:r>
      <w:r>
        <w:rPr>
          <w:color w:val="231F20"/>
          <w:spacing w:val="-6"/>
        </w:rPr>
        <w:t>concept</w:t>
      </w:r>
      <w:r>
        <w:rPr>
          <w:color w:val="231F20"/>
        </w:rPr>
        <w:t> </w:t>
      </w:r>
      <w:r>
        <w:rPr>
          <w:color w:val="231F20"/>
          <w:spacing w:val="-6"/>
        </w:rPr>
        <w:t>and</w:t>
      </w:r>
      <w:r>
        <w:rPr>
          <w:color w:val="231F20"/>
        </w:rPr>
        <w:t> </w:t>
      </w:r>
      <w:r>
        <w:rPr>
          <w:color w:val="231F20"/>
          <w:spacing w:val="-6"/>
        </w:rPr>
        <w:t>design.</w:t>
      </w:r>
      <w:r>
        <w:rPr>
          <w:color w:val="231F20"/>
        </w:rPr>
        <w:t> </w:t>
      </w:r>
      <w:r>
        <w:rPr>
          <w:color w:val="231F20"/>
          <w:spacing w:val="-6"/>
        </w:rPr>
        <w:t>Dr.</w:t>
      </w:r>
      <w:r>
        <w:rPr>
          <w:color w:val="231F20"/>
        </w:rPr>
        <w:t> </w:t>
      </w:r>
      <w:r>
        <w:rPr>
          <w:color w:val="231F20"/>
          <w:spacing w:val="-6"/>
        </w:rPr>
        <w:t>Sidiropoulos:</w:t>
      </w:r>
      <w:r>
        <w:rPr>
          <w:color w:val="231F20"/>
        </w:rPr>
        <w:t> </w:t>
      </w:r>
      <w:r>
        <w:rPr>
          <w:color w:val="231F20"/>
          <w:spacing w:val="-6"/>
        </w:rPr>
        <w:t>acquisition</w:t>
      </w:r>
      <w:r>
        <w:rPr>
          <w:color w:val="231F20"/>
        </w:rPr>
        <w:t> </w:t>
      </w:r>
      <w:r>
        <w:rPr>
          <w:color w:val="231F20"/>
          <w:spacing w:val="-6"/>
        </w:rPr>
        <w:t>of</w:t>
      </w:r>
      <w:r>
        <w:rPr>
          <w:color w:val="231F20"/>
        </w:rPr>
        <w:t> </w:t>
      </w:r>
      <w:r>
        <w:rPr>
          <w:color w:val="231F20"/>
          <w:spacing w:val="-6"/>
        </w:rPr>
        <w:t>data.</w:t>
      </w:r>
      <w:r>
        <w:rPr>
          <w:color w:val="231F20"/>
        </w:rPr>
        <w:t> </w:t>
      </w:r>
      <w:r>
        <w:rPr>
          <w:color w:val="231F20"/>
          <w:spacing w:val="-6"/>
        </w:rPr>
        <w:t>Drs.</w:t>
      </w:r>
      <w:r>
        <w:rPr>
          <w:color w:val="231F20"/>
        </w:rPr>
        <w:t> </w:t>
      </w:r>
      <w:r>
        <w:rPr>
          <w:color w:val="231F20"/>
          <w:spacing w:val="-6"/>
        </w:rPr>
        <w:t>Sidiropoulos,</w:t>
      </w:r>
      <w:r>
        <w:rPr>
          <w:color w:val="231F20"/>
        </w:rPr>
        <w:t> </w:t>
      </w:r>
      <w:r>
        <w:rPr>
          <w:color w:val="231F20"/>
          <w:spacing w:val="-6"/>
        </w:rPr>
        <w:t>Moro,</w:t>
      </w:r>
      <w:r>
        <w:rPr>
          <w:color w:val="231F20"/>
        </w:rPr>
        <w:t> </w:t>
      </w:r>
      <w:r>
        <w:rPr>
          <w:color w:val="231F20"/>
          <w:spacing w:val="-6"/>
        </w:rPr>
        <w:t>Lang: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analysis and interpretation of data. Drs. Moro, Lang: critical revision of the manuscript for important intellectual content. Drs. Moro,</w:t>
      </w:r>
      <w:r>
        <w:rPr>
          <w:color w:val="231F20"/>
          <w:spacing w:val="40"/>
        </w:rPr>
        <w:t> </w:t>
      </w:r>
      <w:r>
        <w:rPr>
          <w:color w:val="231F20"/>
        </w:rPr>
        <w:t>Lang: study supervision.</w:t>
      </w:r>
    </w:p>
    <w:p>
      <w:pPr>
        <w:spacing w:before="41"/>
        <w:ind w:left="2224" w:right="0" w:firstLine="0"/>
        <w:jc w:val="both"/>
        <w:rPr>
          <w:sz w:val="16"/>
        </w:rPr>
      </w:pPr>
      <w:r>
        <w:rPr>
          <w:i/>
          <w:color w:val="231F20"/>
          <w:spacing w:val="-2"/>
          <w:sz w:val="16"/>
        </w:rPr>
        <w:t>Study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funding</w:t>
      </w:r>
      <w:r>
        <w:rPr>
          <w:color w:val="231F20"/>
          <w:spacing w:val="-2"/>
          <w:sz w:val="16"/>
        </w:rPr>
        <w:t>: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No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targeted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funding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reported.</w:t>
      </w:r>
    </w:p>
    <w:p>
      <w:pPr>
        <w:pStyle w:val="BodyText"/>
        <w:spacing w:line="259" w:lineRule="auto" w:before="56"/>
        <w:ind w:left="2224" w:right="84"/>
      </w:pPr>
      <w:r>
        <w:rPr>
          <w:i/>
          <w:color w:val="231F20"/>
          <w:w w:val="90"/>
        </w:rPr>
        <w:t>Disclosure</w:t>
      </w:r>
      <w:r>
        <w:rPr>
          <w:color w:val="231F20"/>
          <w:w w:val="90"/>
        </w:rPr>
        <w:t>: C. Sidiropoulos reports no disclosures. E. Moro has received honoraria from Medtronic for consulting services and lecturing</w:t>
      </w:r>
      <w:r>
        <w:rPr>
          <w:color w:val="231F20"/>
          <w:spacing w:val="8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received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St.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Jude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Medical,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CurePSP,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CIHR,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educational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grant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Medtronic.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Lang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served as an advisor for Abbott, Allon Therapeutics, Astra Zeneca, Avanir Pharmaceuticals, Biogen Idec, Biovail, Boehringer-Ingelheim,</w:t>
      </w:r>
      <w:r>
        <w:rPr>
          <w:color w:val="231F20"/>
          <w:spacing w:val="40"/>
        </w:rPr>
        <w:t> </w:t>
      </w:r>
      <w:r>
        <w:rPr>
          <w:color w:val="231F20"/>
        </w:rPr>
        <w:t>Cephalon,</w:t>
      </w:r>
      <w:r>
        <w:rPr>
          <w:color w:val="231F20"/>
          <w:spacing w:val="-10"/>
        </w:rPr>
        <w:t> </w:t>
      </w:r>
      <w:r>
        <w:rPr>
          <w:color w:val="231F20"/>
        </w:rPr>
        <w:t>Ceregene,</w:t>
      </w:r>
      <w:r>
        <w:rPr>
          <w:color w:val="231F20"/>
          <w:spacing w:val="-10"/>
        </w:rPr>
        <w:t> </w:t>
      </w:r>
      <w:r>
        <w:rPr>
          <w:color w:val="231F20"/>
        </w:rPr>
        <w:t>Eisai,</w:t>
      </w:r>
      <w:r>
        <w:rPr>
          <w:color w:val="231F20"/>
          <w:spacing w:val="-10"/>
        </w:rPr>
        <w:t> </w:t>
      </w:r>
      <w:r>
        <w:rPr>
          <w:color w:val="231F20"/>
        </w:rPr>
        <w:t>GSK,</w:t>
      </w:r>
      <w:r>
        <w:rPr>
          <w:color w:val="231F20"/>
          <w:spacing w:val="-9"/>
        </w:rPr>
        <w:t> </w:t>
      </w:r>
      <w:r>
        <w:rPr>
          <w:color w:val="231F20"/>
        </w:rPr>
        <w:t>Lundbeck</w:t>
      </w:r>
      <w:r>
        <w:rPr>
          <w:color w:val="231F20"/>
          <w:spacing w:val="-10"/>
        </w:rPr>
        <w:t> </w:t>
      </w:r>
      <w:r>
        <w:rPr>
          <w:color w:val="231F20"/>
        </w:rPr>
        <w:t>A/S,</w:t>
      </w:r>
      <w:r>
        <w:rPr>
          <w:color w:val="231F20"/>
          <w:spacing w:val="-10"/>
        </w:rPr>
        <w:t> </w:t>
      </w:r>
      <w:r>
        <w:rPr>
          <w:color w:val="231F20"/>
        </w:rPr>
        <w:t>Medtronic,</w:t>
      </w:r>
      <w:r>
        <w:rPr>
          <w:color w:val="231F20"/>
          <w:spacing w:val="-10"/>
        </w:rPr>
        <w:t> </w:t>
      </w:r>
      <w:r>
        <w:rPr>
          <w:color w:val="231F20"/>
        </w:rPr>
        <w:t>Merck</w:t>
      </w:r>
      <w:r>
        <w:rPr>
          <w:color w:val="231F20"/>
          <w:spacing w:val="-9"/>
        </w:rPr>
        <w:t> </w:t>
      </w:r>
      <w:r>
        <w:rPr>
          <w:color w:val="231F20"/>
        </w:rPr>
        <w:t>Serono,</w:t>
      </w:r>
      <w:r>
        <w:rPr>
          <w:color w:val="231F20"/>
          <w:spacing w:val="-10"/>
        </w:rPr>
        <w:t> </w:t>
      </w:r>
      <w:r>
        <w:rPr>
          <w:color w:val="231F20"/>
        </w:rPr>
        <w:t>Merke,</w:t>
      </w:r>
      <w:r>
        <w:rPr>
          <w:color w:val="231F20"/>
          <w:spacing w:val="-10"/>
        </w:rPr>
        <w:t> </w:t>
      </w:r>
      <w:r>
        <w:rPr>
          <w:color w:val="231F20"/>
        </w:rPr>
        <w:t>Novartis,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Teva;</w:t>
      </w:r>
      <w:r>
        <w:rPr>
          <w:color w:val="231F20"/>
          <w:spacing w:val="-10"/>
        </w:rPr>
        <w:t> </w:t>
      </w:r>
      <w:r>
        <w:rPr>
          <w:color w:val="231F20"/>
        </w:rPr>
        <w:t>received</w:t>
      </w:r>
      <w:r>
        <w:rPr>
          <w:color w:val="231F20"/>
          <w:spacing w:val="-10"/>
        </w:rPr>
        <w:t> </w:t>
      </w:r>
      <w:r>
        <w:rPr>
          <w:color w:val="231F20"/>
        </w:rPr>
        <w:t>grants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Canadian</w:t>
      </w:r>
      <w:r>
        <w:rPr>
          <w:color w:val="231F20"/>
          <w:spacing w:val="-10"/>
        </w:rPr>
        <w:t> </w:t>
      </w:r>
      <w:r>
        <w:rPr>
          <w:color w:val="231F20"/>
        </w:rPr>
        <w:t>Institutes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Research,</w:t>
      </w:r>
      <w:r>
        <w:rPr>
          <w:color w:val="231F20"/>
          <w:spacing w:val="-10"/>
        </w:rPr>
        <w:t> </w:t>
      </w:r>
      <w:r>
        <w:rPr>
          <w:color w:val="231F20"/>
        </w:rPr>
        <w:t>Dystonia</w:t>
      </w:r>
      <w:r>
        <w:rPr>
          <w:color w:val="231F20"/>
          <w:spacing w:val="-10"/>
        </w:rPr>
        <w:t> </w:t>
      </w:r>
      <w:r>
        <w:rPr>
          <w:color w:val="231F20"/>
        </w:rPr>
        <w:t>Medical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Foundation,</w:t>
      </w:r>
      <w:r>
        <w:rPr>
          <w:color w:val="231F20"/>
          <w:spacing w:val="-9"/>
        </w:rPr>
        <w:t> </w:t>
      </w:r>
      <w:r>
        <w:rPr>
          <w:color w:val="231F20"/>
        </w:rPr>
        <w:t>Michael</w:t>
      </w:r>
      <w:r>
        <w:rPr>
          <w:color w:val="231F20"/>
          <w:spacing w:val="-10"/>
        </w:rPr>
        <w:t> </w:t>
      </w:r>
      <w:r>
        <w:rPr>
          <w:color w:val="231F20"/>
        </w:rPr>
        <w:t>J.</w:t>
      </w:r>
      <w:r>
        <w:rPr>
          <w:color w:val="231F20"/>
          <w:spacing w:val="-9"/>
        </w:rPr>
        <w:t> </w:t>
      </w:r>
      <w:r>
        <w:rPr>
          <w:color w:val="231F20"/>
        </w:rPr>
        <w:t>Fox</w:t>
      </w:r>
      <w:r>
        <w:rPr>
          <w:color w:val="231F20"/>
          <w:spacing w:val="-9"/>
        </w:rPr>
        <w:t> </w:t>
      </w:r>
      <w:r>
        <w:rPr>
          <w:color w:val="231F20"/>
        </w:rPr>
        <w:t>Foundation,</w:t>
      </w:r>
      <w:r>
        <w:rPr>
          <w:color w:val="231F20"/>
          <w:spacing w:val="-9"/>
        </w:rPr>
        <w:t> </w:t>
      </w:r>
      <w:r>
        <w:rPr>
          <w:color w:val="231F20"/>
        </w:rPr>
        <w:t>National</w:t>
      </w:r>
      <w:r>
        <w:rPr>
          <w:color w:val="231F20"/>
          <w:spacing w:val="-10"/>
        </w:rPr>
        <w:t> </w:t>
      </w:r>
      <w:r>
        <w:rPr>
          <w:color w:val="231F20"/>
        </w:rPr>
        <w:t>Parkinson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Foundation,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Parkinson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Society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Canada,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Ontario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Problem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Gambling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Center;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served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expert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witness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cases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welding</w:t>
      </w:r>
      <w:r>
        <w:rPr>
          <w:color w:val="231F20"/>
          <w:spacing w:val="-7"/>
        </w:rPr>
        <w:t> </w:t>
      </w:r>
      <w:r>
        <w:rPr>
          <w:color w:val="231F20"/>
        </w:rPr>
        <w:t>industry.</w:t>
      </w:r>
      <w:r>
        <w:rPr>
          <w:color w:val="231F20"/>
          <w:spacing w:val="-8"/>
        </w:rPr>
        <w:t> </w:t>
      </w:r>
      <w:r>
        <w:rPr>
          <w:color w:val="231F20"/>
        </w:rPr>
        <w:t>Go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hyperlink r:id="rId9">
        <w:r>
          <w:rPr>
            <w:color w:val="231F20"/>
          </w:rPr>
          <w:t>Neurology.org</w:t>
        </w:r>
      </w:hyperlink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6"/>
        </w:rPr>
        <w:t> </w:t>
      </w:r>
      <w:r>
        <w:rPr>
          <w:color w:val="231F20"/>
        </w:rPr>
        <w:t>disclosures.</w:t>
      </w:r>
    </w:p>
    <w:p>
      <w:pPr>
        <w:spacing w:before="43"/>
        <w:ind w:left="2224" w:right="0" w:firstLine="0"/>
        <w:jc w:val="left"/>
        <w:rPr>
          <w:i/>
          <w:sz w:val="16"/>
        </w:rPr>
      </w:pPr>
      <w:r>
        <w:rPr>
          <w:i/>
          <w:color w:val="231F20"/>
          <w:w w:val="85"/>
          <w:sz w:val="16"/>
        </w:rPr>
        <w:t>Correspondence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w w:val="85"/>
          <w:sz w:val="16"/>
        </w:rPr>
        <w:t>to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w w:val="85"/>
          <w:sz w:val="16"/>
        </w:rPr>
        <w:t>Dr.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w w:val="85"/>
          <w:sz w:val="16"/>
        </w:rPr>
        <w:t>Sidiropoulos:</w:t>
      </w:r>
      <w:r>
        <w:rPr>
          <w:i/>
          <w:color w:val="231F20"/>
          <w:spacing w:val="11"/>
          <w:sz w:val="16"/>
        </w:rPr>
        <w:t> </w:t>
      </w:r>
      <w:hyperlink r:id="rId10">
        <w:r>
          <w:rPr>
            <w:i/>
            <w:color w:val="231F20"/>
            <w:spacing w:val="-2"/>
            <w:w w:val="85"/>
            <w:sz w:val="16"/>
          </w:rPr>
          <w:t>csidiro1@hfhs.org</w:t>
        </w:r>
      </w:hyperlink>
    </w:p>
    <w:p>
      <w:pPr>
        <w:pStyle w:val="BodyText"/>
        <w:spacing w:before="7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2520" w:val="left" w:leader="none"/>
          <w:tab w:pos="2522" w:val="left" w:leader="none"/>
        </w:tabs>
        <w:spacing w:line="285" w:lineRule="auto" w:before="0" w:after="0"/>
        <w:ind w:left="2522" w:right="85" w:hanging="299"/>
        <w:jc w:val="left"/>
        <w:rPr>
          <w:sz w:val="16"/>
        </w:rPr>
      </w:pPr>
      <w:r>
        <w:rPr>
          <w:color w:val="231F20"/>
          <w:spacing w:val="-2"/>
          <w:sz w:val="16"/>
        </w:rPr>
        <w:t>Knight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MA,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Gardner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RJ,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Bahlo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M,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al.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Dominantly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inherited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ataxia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dysphonia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dentate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calcification: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spinocerebellar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ataxia type 20. Brain 2004;127:1172</w:t>
      </w:r>
      <w:r>
        <w:rPr>
          <w:rFonts w:ascii="Arial" w:hAnsi="Arial"/>
          <w:color w:val="231F20"/>
          <w:sz w:val="16"/>
        </w:rPr>
        <w:t>–</w:t>
      </w:r>
      <w:r>
        <w:rPr>
          <w:color w:val="231F20"/>
          <w:sz w:val="16"/>
        </w:rPr>
        <w:t>1181.</w:t>
      </w:r>
    </w:p>
    <w:p>
      <w:pPr>
        <w:pStyle w:val="ListParagraph"/>
        <w:numPr>
          <w:ilvl w:val="0"/>
          <w:numId w:val="1"/>
        </w:numPr>
        <w:tabs>
          <w:tab w:pos="2521" w:val="left" w:leader="none"/>
        </w:tabs>
        <w:spacing w:line="184" w:lineRule="exact" w:before="0" w:after="0"/>
        <w:ind w:left="2521" w:right="0" w:hanging="297"/>
        <w:jc w:val="left"/>
        <w:rPr>
          <w:sz w:val="16"/>
        </w:rPr>
      </w:pPr>
      <w:r>
        <w:rPr>
          <w:color w:val="231F20"/>
          <w:spacing w:val="-2"/>
          <w:sz w:val="16"/>
        </w:rPr>
        <w:t>Finsterer J.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Central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nervous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system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imaging in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mitochondrial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disorders.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Can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J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Neurol Sci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2009;36:143</w:t>
      </w:r>
      <w:r>
        <w:rPr>
          <w:rFonts w:ascii="Arial" w:hAnsi="Arial"/>
          <w:color w:val="231F20"/>
          <w:spacing w:val="-2"/>
          <w:sz w:val="16"/>
        </w:rPr>
        <w:t>–</w:t>
      </w:r>
      <w:r>
        <w:rPr>
          <w:color w:val="231F20"/>
          <w:spacing w:val="-2"/>
          <w:sz w:val="16"/>
        </w:rPr>
        <w:t>153.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1866595</wp:posOffset>
                </wp:positionH>
                <wp:positionV relativeFrom="paragraph">
                  <wp:posOffset>297058</wp:posOffset>
                </wp:positionV>
                <wp:extent cx="5168265" cy="131000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68265" cy="1310005"/>
                        </a:xfrm>
                        <a:prstGeom prst="rect">
                          <a:avLst/>
                        </a:prstGeom>
                        <a:ln w="6476">
                          <a:solidFill>
                            <a:srgbClr val="00643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9"/>
                              <w:ind w:left="0" w:right="0"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643D"/>
                                <w:sz w:val="32"/>
                              </w:rPr>
                              <w:t>Neuro</w:t>
                            </w:r>
                            <w:r>
                              <w:rPr>
                                <w:i/>
                                <w:color w:val="00643D"/>
                                <w:sz w:val="32"/>
                              </w:rPr>
                              <w:t>Images</w:t>
                            </w:r>
                            <w:r>
                              <w:rPr>
                                <w:i/>
                                <w:color w:val="00643D"/>
                                <w:spacing w:val="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32"/>
                              </w:rPr>
                              <w:t>Are</w:t>
                            </w:r>
                            <w:r>
                              <w:rPr>
                                <w:color w:val="00643D"/>
                                <w:spacing w:val="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32"/>
                              </w:rPr>
                              <w:t>Free</w:t>
                            </w:r>
                            <w:r>
                              <w:rPr>
                                <w:color w:val="00643D"/>
                                <w:spacing w:val="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color w:val="00643D"/>
                                <w:spacing w:val="3"/>
                                <w:sz w:val="32"/>
                              </w:rPr>
                              <w:t> </w:t>
                            </w:r>
                            <w:hyperlink r:id="rId11">
                              <w:r>
                                <w:rPr>
                                  <w:color w:val="00643D"/>
                                  <w:spacing w:val="-2"/>
                                  <w:sz w:val="32"/>
                                </w:rPr>
                                <w:t>www.neurology.org!</w:t>
                              </w:r>
                            </w:hyperlink>
                          </w:p>
                          <w:p>
                            <w:pPr>
                              <w:spacing w:line="278" w:lineRule="auto" w:before="127"/>
                              <w:ind w:left="339" w:right="334" w:firstLine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0643D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color w:val="00643D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643D"/>
                                <w:sz w:val="19"/>
                              </w:rPr>
                              <w:t>Neurology</w:t>
                            </w:r>
                            <w:r>
                              <w:rPr>
                                <w:color w:val="00643D"/>
                                <w:position w:val="4"/>
                                <w:sz w:val="13"/>
                              </w:rPr>
                              <w:t>®</w:t>
                            </w:r>
                            <w:r>
                              <w:rPr>
                                <w:color w:val="00643D"/>
                                <w:spacing w:val="12"/>
                                <w:position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Neuro</w:t>
                            </w:r>
                            <w:r>
                              <w:rPr>
                                <w:i/>
                                <w:color w:val="00643D"/>
                                <w:sz w:val="19"/>
                              </w:rPr>
                              <w:t>Images</w:t>
                            </w:r>
                            <w:r>
                              <w:rPr>
                                <w:i/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color w:val="00643D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now</w:t>
                            </w:r>
                            <w:r>
                              <w:rPr>
                                <w:color w:val="00643D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freely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accessed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color w:val="00643D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643D"/>
                                <w:sz w:val="19"/>
                              </w:rPr>
                              <w:t>Neurology</w:t>
                            </w:r>
                            <w:r>
                              <w:rPr>
                                <w:i/>
                                <w:color w:val="00643D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site.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See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them</w:t>
                            </w:r>
                            <w:r>
                              <w:rPr>
                                <w:color w:val="00643D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at </w:t>
                            </w:r>
                            <w:hyperlink r:id="rId11">
                              <w:r>
                                <w:rPr>
                                  <w:color w:val="00643D"/>
                                  <w:sz w:val="19"/>
                                </w:rPr>
                                <w:t>www.neurology.org,</w:t>
                              </w:r>
                            </w:hyperlink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color w:val="00643D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also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sign</w:t>
                            </w:r>
                            <w:r>
                              <w:rPr>
                                <w:color w:val="00643D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journal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color w:val="00643D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alerts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color w:val="00643D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color w:val="00643D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color w:val="00643D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online features, including the Resident &amp; Fellow section, </w:t>
                            </w:r>
                            <w:r>
                              <w:rPr>
                                <w:i/>
                                <w:color w:val="00643D"/>
                                <w:sz w:val="19"/>
                              </w:rPr>
                              <w:t>Neurology: Clinical Practice,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and the weekly </w:t>
                            </w:r>
                            <w:r>
                              <w:rPr>
                                <w:i/>
                                <w:color w:val="00643D"/>
                                <w:sz w:val="19"/>
                              </w:rPr>
                              <w:t>Neurology </w:t>
                            </w:r>
                            <w:r>
                              <w:rPr>
                                <w:color w:val="00643D"/>
                                <w:sz w:val="19"/>
                              </w:rPr>
                              <w:t>Podcasts.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998pt;margin-top:23.390417pt;width:406.95pt;height:103.15pt;mso-position-horizontal-relative:page;mso-position-vertical-relative:paragraph;z-index:-15726080;mso-wrap-distance-left:0;mso-wrap-distance-right:0" type="#_x0000_t202" id="docshape33" filled="false" stroked="true" strokeweight=".51pt" strokecolor="#00643d">
                <v:textbox inset="0,0,0,0">
                  <w:txbxContent>
                    <w:p>
                      <w:pPr>
                        <w:spacing w:before="279"/>
                        <w:ind w:left="0" w:right="0"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643D"/>
                          <w:sz w:val="32"/>
                        </w:rPr>
                        <w:t>Neuro</w:t>
                      </w:r>
                      <w:r>
                        <w:rPr>
                          <w:i/>
                          <w:color w:val="00643D"/>
                          <w:sz w:val="32"/>
                        </w:rPr>
                        <w:t>Images</w:t>
                      </w:r>
                      <w:r>
                        <w:rPr>
                          <w:i/>
                          <w:color w:val="00643D"/>
                          <w:spacing w:val="4"/>
                          <w:sz w:val="32"/>
                        </w:rPr>
                        <w:t> </w:t>
                      </w:r>
                      <w:r>
                        <w:rPr>
                          <w:color w:val="00643D"/>
                          <w:sz w:val="32"/>
                        </w:rPr>
                        <w:t>Are</w:t>
                      </w:r>
                      <w:r>
                        <w:rPr>
                          <w:color w:val="00643D"/>
                          <w:spacing w:val="3"/>
                          <w:sz w:val="32"/>
                        </w:rPr>
                        <w:t> </w:t>
                      </w:r>
                      <w:r>
                        <w:rPr>
                          <w:color w:val="00643D"/>
                          <w:sz w:val="32"/>
                        </w:rPr>
                        <w:t>Free</w:t>
                      </w:r>
                      <w:r>
                        <w:rPr>
                          <w:color w:val="00643D"/>
                          <w:spacing w:val="6"/>
                          <w:sz w:val="32"/>
                        </w:rPr>
                        <w:t> </w:t>
                      </w:r>
                      <w:r>
                        <w:rPr>
                          <w:color w:val="00643D"/>
                          <w:sz w:val="32"/>
                        </w:rPr>
                        <w:t>at</w:t>
                      </w:r>
                      <w:r>
                        <w:rPr>
                          <w:color w:val="00643D"/>
                          <w:spacing w:val="3"/>
                          <w:sz w:val="32"/>
                        </w:rPr>
                        <w:t> </w:t>
                      </w:r>
                      <w:hyperlink r:id="rId11">
                        <w:r>
                          <w:rPr>
                            <w:color w:val="00643D"/>
                            <w:spacing w:val="-2"/>
                            <w:sz w:val="32"/>
                          </w:rPr>
                          <w:t>www.neurology.org!</w:t>
                        </w:r>
                      </w:hyperlink>
                    </w:p>
                    <w:p>
                      <w:pPr>
                        <w:spacing w:line="278" w:lineRule="auto" w:before="127"/>
                        <w:ind w:left="339" w:right="334" w:firstLine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color w:val="00643D"/>
                          <w:sz w:val="19"/>
                        </w:rPr>
                        <w:t>All</w:t>
                      </w:r>
                      <w:r>
                        <w:rPr>
                          <w:color w:val="00643D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00643D"/>
                          <w:sz w:val="19"/>
                        </w:rPr>
                        <w:t>Neurology</w:t>
                      </w:r>
                      <w:r>
                        <w:rPr>
                          <w:color w:val="00643D"/>
                          <w:position w:val="4"/>
                          <w:sz w:val="13"/>
                        </w:rPr>
                        <w:t>®</w:t>
                      </w:r>
                      <w:r>
                        <w:rPr>
                          <w:color w:val="00643D"/>
                          <w:spacing w:val="12"/>
                          <w:position w:val="4"/>
                          <w:sz w:val="13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Neuro</w:t>
                      </w:r>
                      <w:r>
                        <w:rPr>
                          <w:i/>
                          <w:color w:val="00643D"/>
                          <w:sz w:val="19"/>
                        </w:rPr>
                        <w:t>Images</w:t>
                      </w:r>
                      <w:r>
                        <w:rPr>
                          <w:i/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can</w:t>
                      </w:r>
                      <w:r>
                        <w:rPr>
                          <w:color w:val="00643D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now</w:t>
                      </w:r>
                      <w:r>
                        <w:rPr>
                          <w:color w:val="00643D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be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freely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accessed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on</w:t>
                      </w:r>
                      <w:r>
                        <w:rPr>
                          <w:color w:val="00643D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the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00643D"/>
                          <w:sz w:val="19"/>
                        </w:rPr>
                        <w:t>Neurology</w:t>
                      </w:r>
                      <w:r>
                        <w:rPr>
                          <w:i/>
                          <w:color w:val="00643D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Web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site.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See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them</w:t>
                      </w:r>
                      <w:r>
                        <w:rPr>
                          <w:color w:val="00643D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at </w:t>
                      </w:r>
                      <w:hyperlink r:id="rId11">
                        <w:r>
                          <w:rPr>
                            <w:color w:val="00643D"/>
                            <w:sz w:val="19"/>
                          </w:rPr>
                          <w:t>www.neurology.org,</w:t>
                        </w:r>
                      </w:hyperlink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where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you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can</w:t>
                      </w:r>
                      <w:r>
                        <w:rPr>
                          <w:color w:val="00643D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also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sign</w:t>
                      </w:r>
                      <w:r>
                        <w:rPr>
                          <w:color w:val="00643D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up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for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journal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email</w:t>
                      </w:r>
                      <w:r>
                        <w:rPr>
                          <w:color w:val="00643D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alerts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and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check</w:t>
                      </w:r>
                      <w:r>
                        <w:rPr>
                          <w:color w:val="00643D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out</w:t>
                      </w:r>
                      <w:r>
                        <w:rPr>
                          <w:color w:val="00643D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other</w:t>
                      </w:r>
                      <w:r>
                        <w:rPr>
                          <w:color w:val="00643D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00643D"/>
                          <w:sz w:val="19"/>
                        </w:rPr>
                        <w:t>online features, including the Resident &amp; Fellow section, </w:t>
                      </w:r>
                      <w:r>
                        <w:rPr>
                          <w:i/>
                          <w:color w:val="00643D"/>
                          <w:sz w:val="19"/>
                        </w:rPr>
                        <w:t>Neurology: Clinical Practice, </w:t>
                      </w:r>
                      <w:r>
                        <w:rPr>
                          <w:color w:val="00643D"/>
                          <w:sz w:val="19"/>
                        </w:rPr>
                        <w:t>and the weekly </w:t>
                      </w:r>
                      <w:r>
                        <w:rPr>
                          <w:i/>
                          <w:color w:val="00643D"/>
                          <w:sz w:val="19"/>
                        </w:rPr>
                        <w:t>Neurology </w:t>
                      </w:r>
                      <w:r>
                        <w:rPr>
                          <w:color w:val="00643D"/>
                          <w:sz w:val="19"/>
                        </w:rPr>
                        <w:t>Podcasts.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2216" w:val="left" w:leader="none"/>
        </w:tabs>
        <w:spacing w:before="1"/>
        <w:ind w:left="85" w:right="0" w:firstLine="0"/>
        <w:jc w:val="left"/>
        <w:rPr>
          <w:rFonts w:ascii="Arial"/>
          <w:sz w:val="14"/>
        </w:rPr>
      </w:pPr>
      <w:r>
        <w:rPr>
          <w:rFonts w:ascii="Arial"/>
          <w:color w:val="00643D"/>
          <w:spacing w:val="-5"/>
          <w:w w:val="115"/>
          <w:sz w:val="14"/>
        </w:rPr>
        <w:t>198</w:t>
      </w:r>
      <w:r>
        <w:rPr>
          <w:rFonts w:ascii="Arial"/>
          <w:color w:val="00643D"/>
          <w:sz w:val="14"/>
        </w:rPr>
        <w:tab/>
      </w:r>
      <w:r>
        <w:rPr>
          <w:rFonts w:ascii="Arial"/>
          <w:color w:val="231F20"/>
          <w:w w:val="110"/>
          <w:sz w:val="14"/>
        </w:rPr>
        <w:t>Neurology</w:t>
      </w:r>
      <w:r>
        <w:rPr>
          <w:rFonts w:ascii="Arial"/>
          <w:color w:val="231F20"/>
          <w:spacing w:val="-2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81</w:t>
      </w:r>
      <w:r>
        <w:rPr>
          <w:rFonts w:ascii="Arial"/>
          <w:color w:val="231F20"/>
          <w:spacing w:val="79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July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9,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spacing w:val="-4"/>
          <w:w w:val="110"/>
          <w:sz w:val="14"/>
        </w:rPr>
        <w:t>2013</w:t>
      </w:r>
    </w:p>
    <w:sectPr>
      <w:pgSz w:w="11880" w:h="15660"/>
      <w:pgMar w:header="0" w:footer="145" w:top="560" w:bottom="3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863839</wp:posOffset>
              </wp:positionH>
              <wp:positionV relativeFrom="page">
                <wp:posOffset>9699221</wp:posOffset>
              </wp:positionV>
              <wp:extent cx="6385560" cy="1911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8556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Helvetica" w:hAnsi="Helvetic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ª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2013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"NFSJDBO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"DBEFNZ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PG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/FVSPMPHZ.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6OBVUIPSJ[FE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SFQSPEVDUJPO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PG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UIJT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BSUJDMF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w w:val="80"/>
                              <w:sz w:val="22"/>
                            </w:rPr>
                            <w:t>JT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1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Helvetica" w:hAnsi="Helvetica"/>
                              <w:b/>
                              <w:color w:val="ADADAD"/>
                              <w:spacing w:val="-2"/>
                              <w:w w:val="80"/>
                              <w:sz w:val="22"/>
                            </w:rPr>
                            <w:t>QSPIJCJUFE.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8.018837pt;margin-top:763.718201pt;width:502.8pt;height:15.05pt;mso-position-horizontal-relative:page;mso-position-vertical-relative:page;z-index:-15808512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Helvetica" w:hAnsi="Helvetica"/>
                        <w:b/>
                        <w:sz w:val="22"/>
                      </w:rPr>
                    </w:pP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ª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2013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"NFSJDBO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"DBEFNZ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PG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/FVSPMPHZ.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6OBVUIPSJ[FE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SFQSPEVDUJPO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PG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UIJT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BSUJDMF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w w:val="80"/>
                        <w:sz w:val="22"/>
                      </w:rPr>
                      <w:t>JT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Helvetica" w:hAnsi="Helvetica"/>
                        <w:b/>
                        <w:color w:val="ADADAD"/>
                        <w:spacing w:val="-2"/>
                        <w:w w:val="80"/>
                        <w:sz w:val="22"/>
                      </w:rPr>
                      <w:t>QSPIJCJUFE.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522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6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8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86" w:right="678"/>
    </w:pPr>
    <w:rPr>
      <w:rFonts w:ascii="Times New Roman" w:hAnsi="Times New Roman" w:eastAsia="Times New Roman" w:cs="Times New Roman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21" w:hanging="2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neurology.org/" TargetMode="External"/><Relationship Id="rId10" Type="http://schemas.openxmlformats.org/officeDocument/2006/relationships/hyperlink" Target="mailto:csidiro1@hfhs.org" TargetMode="External"/><Relationship Id="rId11" Type="http://schemas.openxmlformats.org/officeDocument/2006/relationships/hyperlink" Target="http://www.neurology.org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WNL205183 197..198</dc:title>
  <dcterms:created xsi:type="dcterms:W3CDTF">2025-05-22T11:28:54Z</dcterms:created>
  <dcterms:modified xsi:type="dcterms:W3CDTF">2025-05-22T11:28:54Z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ionDate--Text">
    <vt:lpwstr>10th June 2013</vt:lpwstr>
  </property>
  <property fmtid="{D5CDD505-2E9C-101B-9397-08002B2CF9AE}" pid="4" name="Creator">
    <vt:lpwstr>Arbortext Advanced Print Publisher 9.1.510/W Unicode</vt:lpwstr>
  </property>
  <property fmtid="{D5CDD505-2E9C-101B-9397-08002B2CF9AE}" pid="5" name="LastSaved">
    <vt:filetime>2025-05-22T00:00:00Z</vt:filetime>
  </property>
  <property fmtid="{D5CDD505-2E9C-101B-9397-08002B2CF9AE}" pid="6" name="Producer">
    <vt:lpwstr>Acrobat Distiller 7.0 (Windows)</vt:lpwstr>
  </property>
</Properties>
</file>