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</w:rPr>
      </w:pPr>
    </w:p>
    <w:p>
      <w:pPr>
        <w:pStyle w:val="BodyText"/>
        <w:spacing w:before="133"/>
        <w:rPr>
          <w:rFonts w:ascii="Times New Roman"/>
        </w:rPr>
      </w:pPr>
    </w:p>
    <w:p>
      <w:pPr>
        <w:pStyle w:val="BodyText"/>
        <w:ind w:left="7048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inline distT="0" distB="0" distL="0" distR="0">
                <wp:extent cx="387350" cy="406400"/>
                <wp:effectExtent l="0" t="0" r="0" b="3175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387350" cy="406400"/>
                          <a:chExt cx="387350" cy="406400"/>
                        </a:xfrm>
                      </wpg:grpSpPr>
                      <pic:pic>
                        <pic:nvPicPr>
                          <pic:cNvPr id="2" name="Image 2">
                            <a:hlinkClick r:id="rId7"/>
                          </pic:cNvPr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764" y="41948"/>
                            <a:ext cx="137693" cy="2301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>
                          <a:hlinkClick r:id="rId7"/>
                        </wps:cNvPr>
                        <wps:cNvSpPr/>
                        <wps:spPr>
                          <a:xfrm>
                            <a:off x="27419" y="0"/>
                            <a:ext cx="3238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50" h="323850">
                                <a:moveTo>
                                  <a:pt x="161671" y="0"/>
                                </a:moveTo>
                                <a:lnTo>
                                  <a:pt x="118695" y="5773"/>
                                </a:lnTo>
                                <a:lnTo>
                                  <a:pt x="80075" y="22066"/>
                                </a:lnTo>
                                <a:lnTo>
                                  <a:pt x="47355" y="47337"/>
                                </a:lnTo>
                                <a:lnTo>
                                  <a:pt x="22074" y="80045"/>
                                </a:lnTo>
                                <a:lnTo>
                                  <a:pt x="5775" y="118649"/>
                                </a:lnTo>
                                <a:lnTo>
                                  <a:pt x="0" y="161607"/>
                                </a:lnTo>
                                <a:lnTo>
                                  <a:pt x="5775" y="204593"/>
                                </a:lnTo>
                                <a:lnTo>
                                  <a:pt x="22074" y="243217"/>
                                </a:lnTo>
                                <a:lnTo>
                                  <a:pt x="47355" y="275939"/>
                                </a:lnTo>
                                <a:lnTo>
                                  <a:pt x="80075" y="301219"/>
                                </a:lnTo>
                                <a:lnTo>
                                  <a:pt x="118695" y="317516"/>
                                </a:lnTo>
                                <a:lnTo>
                                  <a:pt x="161671" y="323291"/>
                                </a:lnTo>
                                <a:lnTo>
                                  <a:pt x="204647" y="317516"/>
                                </a:lnTo>
                                <a:lnTo>
                                  <a:pt x="243269" y="301219"/>
                                </a:lnTo>
                                <a:lnTo>
                                  <a:pt x="249960" y="296049"/>
                                </a:lnTo>
                                <a:lnTo>
                                  <a:pt x="241909" y="296049"/>
                                </a:lnTo>
                                <a:lnTo>
                                  <a:pt x="239676" y="294220"/>
                                </a:lnTo>
                                <a:lnTo>
                                  <a:pt x="82448" y="294220"/>
                                </a:lnTo>
                                <a:lnTo>
                                  <a:pt x="82448" y="265201"/>
                                </a:lnTo>
                                <a:lnTo>
                                  <a:pt x="61320" y="244875"/>
                                </a:lnTo>
                                <a:lnTo>
                                  <a:pt x="45154" y="220291"/>
                                </a:lnTo>
                                <a:lnTo>
                                  <a:pt x="34799" y="192263"/>
                                </a:lnTo>
                                <a:lnTo>
                                  <a:pt x="31102" y="161607"/>
                                </a:lnTo>
                                <a:lnTo>
                                  <a:pt x="36453" y="124071"/>
                                </a:lnTo>
                                <a:lnTo>
                                  <a:pt x="75184" y="63380"/>
                                </a:lnTo>
                                <a:lnTo>
                                  <a:pt x="126594" y="35668"/>
                                </a:lnTo>
                                <a:lnTo>
                                  <a:pt x="171229" y="31398"/>
                                </a:lnTo>
                                <a:lnTo>
                                  <a:pt x="255353" y="31398"/>
                                </a:lnTo>
                                <a:lnTo>
                                  <a:pt x="243269" y="22066"/>
                                </a:lnTo>
                                <a:lnTo>
                                  <a:pt x="204647" y="5773"/>
                                </a:lnTo>
                                <a:lnTo>
                                  <a:pt x="161671" y="0"/>
                                </a:lnTo>
                                <a:close/>
                              </a:path>
                              <a:path w="323850" h="323850">
                                <a:moveTo>
                                  <a:pt x="255353" y="31398"/>
                                </a:moveTo>
                                <a:lnTo>
                                  <a:pt x="171229" y="31398"/>
                                </a:lnTo>
                                <a:lnTo>
                                  <a:pt x="193421" y="34950"/>
                                </a:lnTo>
                                <a:lnTo>
                                  <a:pt x="232805" y="52149"/>
                                </a:lnTo>
                                <a:lnTo>
                                  <a:pt x="264113" y="80700"/>
                                </a:lnTo>
                                <a:lnTo>
                                  <a:pt x="284780" y="118041"/>
                                </a:lnTo>
                                <a:lnTo>
                                  <a:pt x="292239" y="161607"/>
                                </a:lnTo>
                                <a:lnTo>
                                  <a:pt x="288676" y="191950"/>
                                </a:lnTo>
                                <a:lnTo>
                                  <a:pt x="278542" y="219744"/>
                                </a:lnTo>
                                <a:lnTo>
                                  <a:pt x="262675" y="244182"/>
                                </a:lnTo>
                                <a:lnTo>
                                  <a:pt x="241909" y="264452"/>
                                </a:lnTo>
                                <a:lnTo>
                                  <a:pt x="241909" y="296049"/>
                                </a:lnTo>
                                <a:lnTo>
                                  <a:pt x="249960" y="296049"/>
                                </a:lnTo>
                                <a:lnTo>
                                  <a:pt x="275993" y="275939"/>
                                </a:lnTo>
                                <a:lnTo>
                                  <a:pt x="301276" y="243217"/>
                                </a:lnTo>
                                <a:lnTo>
                                  <a:pt x="317578" y="204593"/>
                                </a:lnTo>
                                <a:lnTo>
                                  <a:pt x="323354" y="161607"/>
                                </a:lnTo>
                                <a:lnTo>
                                  <a:pt x="317578" y="118649"/>
                                </a:lnTo>
                                <a:lnTo>
                                  <a:pt x="301276" y="80045"/>
                                </a:lnTo>
                                <a:lnTo>
                                  <a:pt x="275993" y="47337"/>
                                </a:lnTo>
                                <a:lnTo>
                                  <a:pt x="255353" y="31398"/>
                                </a:lnTo>
                                <a:close/>
                              </a:path>
                              <a:path w="323850" h="323850">
                                <a:moveTo>
                                  <a:pt x="102438" y="277837"/>
                                </a:moveTo>
                                <a:lnTo>
                                  <a:pt x="82448" y="294220"/>
                                </a:lnTo>
                                <a:lnTo>
                                  <a:pt x="239676" y="294220"/>
                                </a:lnTo>
                                <a:lnTo>
                                  <a:pt x="237211" y="292201"/>
                                </a:lnTo>
                                <a:lnTo>
                                  <a:pt x="161671" y="292201"/>
                                </a:lnTo>
                                <a:lnTo>
                                  <a:pt x="146328" y="291263"/>
                                </a:lnTo>
                                <a:lnTo>
                                  <a:pt x="146045" y="291263"/>
                                </a:lnTo>
                                <a:lnTo>
                                  <a:pt x="131266" y="288536"/>
                                </a:lnTo>
                                <a:lnTo>
                                  <a:pt x="131043" y="288536"/>
                                </a:lnTo>
                                <a:lnTo>
                                  <a:pt x="116195" y="283923"/>
                                </a:lnTo>
                                <a:lnTo>
                                  <a:pt x="102438" y="277837"/>
                                </a:lnTo>
                                <a:close/>
                              </a:path>
                              <a:path w="323850" h="323850">
                                <a:moveTo>
                                  <a:pt x="220154" y="278231"/>
                                </a:moveTo>
                                <a:lnTo>
                                  <a:pt x="206537" y="284148"/>
                                </a:lnTo>
                                <a:lnTo>
                                  <a:pt x="192189" y="288536"/>
                                </a:lnTo>
                                <a:lnTo>
                                  <a:pt x="177202" y="291263"/>
                                </a:lnTo>
                                <a:lnTo>
                                  <a:pt x="161671" y="292201"/>
                                </a:lnTo>
                                <a:lnTo>
                                  <a:pt x="237211" y="292201"/>
                                </a:lnTo>
                                <a:lnTo>
                                  <a:pt x="220154" y="2782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>
                            <a:hlinkClick r:id="rId7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017"/>
                            <a:ext cx="387197" cy="663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0.5pt;height:32pt;mso-position-horizontal-relative:char;mso-position-vertical-relative:line" id="docshapegroup1" coordorigin="0,0" coordsize="610,640">
                <v:shape style="position:absolute;left:190;top:66;width:217;height:363" type="#_x0000_t75" id="docshape2" href="http://crossmark.crossref.org/dialog/?doi=10.1016/j.braindev.2014.10.013&amp;domain=pdf" stroked="false">
                  <v:imagedata r:id="rId6" o:title=""/>
                </v:shape>
                <v:shape style="position:absolute;left:43;top:0;width:510;height:510" id="docshape3" href="http://crossmark.crossref.org/dialog/?doi=10.1016/j.braindev.2014.10.013&amp;domain=pdf" coordorigin="43,0" coordsize="510,510" path="m298,0l230,9,169,35,118,75,78,126,52,187,43,254,52,322,78,383,118,435,169,474,230,500,298,509,365,500,426,474,437,466,424,466,421,463,173,463,173,418,140,386,114,347,98,303,92,254,101,195,125,143,162,100,209,68,243,56,277,50,313,49,445,49,426,35,365,9,298,0xm445,49l313,49,348,55,410,82,459,127,492,186,503,254,498,302,482,346,457,385,424,416,424,466,437,466,478,435,518,383,543,322,552,254,543,187,518,126,478,75,445,49xm204,438l173,463,421,463,417,460,298,460,274,459,273,459,250,454,250,454,226,447,204,438xm390,438l368,447,346,454,322,459,298,460,417,460,390,438xe" filled="true" fillcolor="#231f20" stroked="false">
                  <v:path arrowok="t"/>
                  <v:fill type="solid"/>
                </v:shape>
                <v:shape style="position:absolute;left:0;top:535;width:610;height:105" type="#_x0000_t75" id="docshape4" href="http://crossmark.crossref.org/dialog/?doi=10.1016/j.braindev.2014.10.013&amp;domain=pdf" stroked="false">
                  <v:imagedata r:id="rId8" o:title=""/>
                </v:shape>
              </v:group>
            </w:pict>
          </mc:Fallback>
        </mc:AlternateContent>
      </w:r>
      <w:r>
        <w:rPr>
          <w:rFonts w:ascii="Times New Roman"/>
        </w:rPr>
      </w:r>
    </w:p>
    <w:p>
      <w:pPr>
        <w:pStyle w:val="BodyText"/>
        <w:spacing w:before="29"/>
        <w:rPr>
          <w:rFonts w:ascii="Times New Roman"/>
        </w:rPr>
      </w:pPr>
    </w:p>
    <w:p>
      <w:pPr>
        <w:pStyle w:val="BodyText"/>
        <w:spacing w:after="0"/>
        <w:rPr>
          <w:rFonts w:ascii="Times New Roman"/>
        </w:rPr>
        <w:sectPr>
          <w:footerReference w:type="default" r:id="rId5"/>
          <w:type w:val="continuous"/>
          <w:pgSz w:w="11910" w:h="15880"/>
          <w:pgMar w:header="0" w:footer="0" w:top="360" w:bottom="280" w:left="708" w:right="708"/>
          <w:pgNumType w:start="719"/>
        </w:sectPr>
      </w:pPr>
    </w:p>
    <w:p>
      <w:pPr>
        <w:spacing w:before="78"/>
        <w:ind w:left="3481" w:right="0" w:firstLine="0"/>
        <w:jc w:val="left"/>
        <w:rPr>
          <w:sz w:val="16"/>
        </w:rPr>
      </w:pPr>
      <w:bookmarkStart w:name="Myocerebrohepatopathy spectrum disorder " w:id="1"/>
      <w:bookmarkEnd w:id="1"/>
      <w:r>
        <w:rPr/>
      </w:r>
      <w:hyperlink r:id="rId9">
        <w:r>
          <w:rPr>
            <w:color w:val="007FAD"/>
            <w:spacing w:val="-2"/>
            <w:sz w:val="16"/>
          </w:rPr>
          <w:t>Brain</w:t>
        </w:r>
        <w:r>
          <w:rPr>
            <w:color w:val="007FAD"/>
            <w:spacing w:val="4"/>
            <w:sz w:val="16"/>
          </w:rPr>
          <w:t> </w:t>
        </w:r>
        <w:r>
          <w:rPr>
            <w:color w:val="007FAD"/>
            <w:spacing w:val="-2"/>
            <w:sz w:val="16"/>
          </w:rPr>
          <w:t>&amp;</w:t>
        </w:r>
        <w:r>
          <w:rPr>
            <w:color w:val="007FAD"/>
            <w:spacing w:val="4"/>
            <w:sz w:val="16"/>
          </w:rPr>
          <w:t> </w:t>
        </w:r>
        <w:r>
          <w:rPr>
            <w:color w:val="007FAD"/>
            <w:spacing w:val="-2"/>
            <w:sz w:val="16"/>
          </w:rPr>
          <w:t>Development</w:t>
        </w:r>
        <w:r>
          <w:rPr>
            <w:color w:val="007FAD"/>
            <w:spacing w:val="4"/>
            <w:sz w:val="16"/>
          </w:rPr>
          <w:t> </w:t>
        </w:r>
        <w:r>
          <w:rPr>
            <w:color w:val="007FAD"/>
            <w:spacing w:val="-2"/>
            <w:sz w:val="16"/>
          </w:rPr>
          <w:t>37</w:t>
        </w:r>
        <w:r>
          <w:rPr>
            <w:color w:val="007FAD"/>
            <w:spacing w:val="5"/>
            <w:sz w:val="16"/>
          </w:rPr>
          <w:t> </w:t>
        </w:r>
        <w:r>
          <w:rPr>
            <w:color w:val="007FAD"/>
            <w:spacing w:val="-2"/>
            <w:sz w:val="16"/>
          </w:rPr>
          <w:t>(2015)</w:t>
        </w:r>
        <w:r>
          <w:rPr>
            <w:color w:val="007FAD"/>
            <w:spacing w:val="3"/>
            <w:sz w:val="16"/>
          </w:rPr>
          <w:t> </w:t>
        </w:r>
        <w:r>
          <w:rPr>
            <w:color w:val="007FAD"/>
            <w:spacing w:val="-7"/>
            <w:sz w:val="16"/>
          </w:rPr>
          <w:t>719–724</w:t>
        </w:r>
      </w:hyperlink>
    </w:p>
    <w:p>
      <w:pPr>
        <w:pStyle w:val="BodyText"/>
        <w:rPr>
          <w:sz w:val="16"/>
        </w:rPr>
      </w:pPr>
    </w:p>
    <w:p>
      <w:pPr>
        <w:pStyle w:val="BodyText"/>
        <w:spacing w:before="17"/>
        <w:rPr>
          <w:sz w:val="16"/>
        </w:rPr>
      </w:pPr>
    </w:p>
    <w:p>
      <w:pPr>
        <w:spacing w:before="1"/>
        <w:ind w:left="0" w:right="484" w:firstLine="0"/>
        <w:jc w:val="right"/>
        <w:rPr>
          <w:sz w:val="24"/>
        </w:rPr>
      </w:pPr>
      <w:r>
        <w:rPr>
          <w:sz w:val="24"/>
        </w:rPr>
        <w:t>Case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Report</w:t>
      </w:r>
    </w:p>
    <w:p>
      <w:pPr>
        <w:spacing w:line="240" w:lineRule="auto" w:before="16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546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5364142</wp:posOffset>
                </wp:positionH>
                <wp:positionV relativeFrom="paragraph">
                  <wp:posOffset>-1191677</wp:posOffset>
                </wp:positionV>
                <wp:extent cx="1552575" cy="113538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1552575" cy="1135380"/>
                          <a:chExt cx="1552575" cy="113538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532" y="378752"/>
                            <a:ext cx="1034643" cy="7560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035050" cy="75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757555">
                                <a:moveTo>
                                  <a:pt x="0" y="378720"/>
                                </a:moveTo>
                                <a:lnTo>
                                  <a:pt x="151513" y="646516"/>
                                </a:lnTo>
                                <a:lnTo>
                                  <a:pt x="517297" y="757440"/>
                                </a:lnTo>
                                <a:lnTo>
                                  <a:pt x="883082" y="646516"/>
                                </a:lnTo>
                                <a:lnTo>
                                  <a:pt x="1034595" y="378720"/>
                                </a:lnTo>
                                <a:lnTo>
                                  <a:pt x="883082" y="110924"/>
                                </a:lnTo>
                                <a:lnTo>
                                  <a:pt x="517297" y="0"/>
                                </a:lnTo>
                                <a:lnTo>
                                  <a:pt x="151513" y="110924"/>
                                </a:lnTo>
                                <a:lnTo>
                                  <a:pt x="0" y="378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2.373444pt;margin-top:-93.832901pt;width:122.25pt;height:89.4pt;mso-position-horizontal-relative:page;mso-position-vertical-relative:paragraph;z-index:15731200" id="docshapegroup5" coordorigin="8447,-1877" coordsize="2445,1788">
                <v:shape style="position:absolute;left:9262;top:-1281;width:1630;height:1191" type="#_x0000_t75" id="docshape6" stroked="false">
                  <v:imagedata r:id="rId10" o:title=""/>
                </v:shape>
                <v:shape style="position:absolute;left:8447;top:-1877;width:1630;height:1193" id="docshape7" coordorigin="8447,-1877" coordsize="1630,1193" path="m8447,-1280l8686,-859,9262,-684,9838,-859,10077,-1280,9838,-1702,9262,-1877,8686,-1702,8447,-1280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hyperlink r:id="rId11">
        <w:r>
          <w:rPr>
            <w:rFonts w:ascii="Times New Roman"/>
            <w:spacing w:val="-2"/>
            <w:w w:val="105"/>
            <w:sz w:val="16"/>
          </w:rPr>
          <w:t>www.elsevier.com/locate/braindev</w:t>
        </w:r>
      </w:hyperlink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5880"/>
          <w:pgMar w:header="0" w:footer="0" w:top="360" w:bottom="280" w:left="708" w:right="708"/>
          <w:cols w:num="2" w:equalWidth="0">
            <w:col w:w="6297" w:space="40"/>
            <w:col w:w="4157"/>
          </w:cols>
        </w:sectPr>
      </w:pPr>
    </w:p>
    <w:p>
      <w:pPr>
        <w:pStyle w:val="Title"/>
        <w:spacing w:line="244" w:lineRule="auto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197274</wp:posOffset>
                </wp:positionH>
                <wp:positionV relativeFrom="page">
                  <wp:posOffset>233372</wp:posOffset>
                </wp:positionV>
                <wp:extent cx="1028700" cy="113665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028700" cy="1136650"/>
                          <a:chExt cx="1028700" cy="1136650"/>
                        </a:xfrm>
                      </wpg:grpSpPr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729" y="378627"/>
                            <a:ext cx="685825" cy="757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85800" cy="757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0" h="757555">
                                <a:moveTo>
                                  <a:pt x="0" y="378719"/>
                                </a:moveTo>
                                <a:lnTo>
                                  <a:pt x="100380" y="646514"/>
                                </a:lnTo>
                                <a:lnTo>
                                  <a:pt x="342721" y="757439"/>
                                </a:lnTo>
                                <a:lnTo>
                                  <a:pt x="585061" y="646514"/>
                                </a:lnTo>
                                <a:lnTo>
                                  <a:pt x="685442" y="378719"/>
                                </a:lnTo>
                                <a:lnTo>
                                  <a:pt x="585061" y="110924"/>
                                </a:lnTo>
                                <a:lnTo>
                                  <a:pt x="342721" y="0"/>
                                </a:lnTo>
                                <a:lnTo>
                                  <a:pt x="100380" y="110924"/>
                                </a:lnTo>
                                <a:lnTo>
                                  <a:pt x="0" y="3787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.533451pt;margin-top:18.375814pt;width:81pt;height:89.5pt;mso-position-horizontal-relative:page;mso-position-vertical-relative:page;z-index:15730688" id="docshapegroup8" coordorigin="311,368" coordsize="1620,1790">
                <v:shape style="position:absolute;left:850;top:963;width:1081;height:1193" type="#_x0000_t75" id="docshape9" stroked="false">
                  <v:imagedata r:id="rId12" o:title=""/>
                </v:shape>
                <v:shape style="position:absolute;left:310;top:367;width:1080;height:1193" id="docshape10" coordorigin="311,368" coordsize="1080,1193" path="m311,964l469,1386,850,1560,1232,1386,1390,964,1232,542,850,368,469,542,311,96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Myocerebrohepatopathy</w:t>
      </w:r>
      <w:r>
        <w:rPr>
          <w:spacing w:val="-10"/>
        </w:rPr>
        <w:t> </w:t>
      </w:r>
      <w:r>
        <w:rPr/>
        <w:t>spectrum</w:t>
      </w:r>
      <w:r>
        <w:rPr>
          <w:spacing w:val="-8"/>
        </w:rPr>
        <w:t> </w:t>
      </w:r>
      <w:r>
        <w:rPr/>
        <w:t>disorder</w:t>
      </w:r>
      <w:r>
        <w:rPr>
          <w:spacing w:val="-8"/>
        </w:rPr>
        <w:t> </w:t>
      </w:r>
      <w:r>
        <w:rPr/>
        <w:t>due to</w:t>
      </w:r>
      <w:r>
        <w:rPr>
          <w:spacing w:val="-2"/>
        </w:rPr>
        <w:t> </w:t>
      </w:r>
      <w:r>
        <w:rPr>
          <w:rFonts w:ascii="Times New Roman"/>
          <w:i/>
        </w:rPr>
        <w:t>POLG</w:t>
      </w:r>
      <w:r>
        <w:rPr>
          <w:rFonts w:ascii="Times New Roman"/>
          <w:i/>
          <w:spacing w:val="-3"/>
        </w:rPr>
        <w:t> </w:t>
      </w:r>
      <w:r>
        <w:rPr/>
        <w:t>mutations: A</w:t>
      </w:r>
      <w:r>
        <w:rPr>
          <w:spacing w:val="-1"/>
        </w:rPr>
        <w:t> </w:t>
      </w:r>
      <w:r>
        <w:rPr/>
        <w:t>clinicopathological </w:t>
      </w:r>
      <w:r>
        <w:rPr/>
        <w:t>report</w:t>
      </w:r>
    </w:p>
    <w:p>
      <w:pPr>
        <w:spacing w:line="218" w:lineRule="auto" w:before="244"/>
        <w:ind w:left="888" w:right="561" w:hanging="358"/>
        <w:jc w:val="left"/>
        <w:rPr>
          <w:sz w:val="26"/>
        </w:rPr>
      </w:pPr>
      <w:r>
        <w:rPr>
          <w:sz w:val="26"/>
        </w:rPr>
        <w:t>Hesham</w:t>
      </w:r>
      <w:r>
        <w:rPr>
          <w:spacing w:val="-2"/>
          <w:sz w:val="26"/>
        </w:rPr>
        <w:t> </w:t>
      </w:r>
      <w:r>
        <w:rPr>
          <w:sz w:val="26"/>
        </w:rPr>
        <w:t>Montassir</w:t>
      </w:r>
      <w:r>
        <w:rPr>
          <w:spacing w:val="-19"/>
          <w:sz w:val="26"/>
        </w:rPr>
        <w:t> </w:t>
      </w:r>
      <w:hyperlink w:history="true" w:anchor="_bookmark0">
        <w:r>
          <w:rPr>
            <w:color w:val="007FAD"/>
            <w:sz w:val="26"/>
            <w:vertAlign w:val="superscript"/>
          </w:rPr>
          <w:t>a</w:t>
        </w:r>
      </w:hyperlink>
      <w:r>
        <w:rPr>
          <w:sz w:val="26"/>
          <w:vertAlign w:val="superscript"/>
        </w:rPr>
        <w:t>,</w:t>
      </w:r>
      <w:hyperlink w:history="true" w:anchor="_bookmark1">
        <w:r>
          <w:rPr>
            <w:color w:val="007FAD"/>
            <w:sz w:val="26"/>
            <w:vertAlign w:val="superscript"/>
          </w:rPr>
          <w:t>b</w:t>
        </w:r>
      </w:hyperlink>
      <w:r>
        <w:rPr>
          <w:sz w:val="26"/>
          <w:vertAlign w:val="baseline"/>
        </w:rPr>
        <w:t>,</w:t>
      </w:r>
      <w:r>
        <w:rPr>
          <w:spacing w:val="15"/>
          <w:sz w:val="26"/>
          <w:vertAlign w:val="baseline"/>
        </w:rPr>
        <w:t> </w:t>
      </w:r>
      <w:r>
        <w:rPr>
          <w:sz w:val="26"/>
          <w:vertAlign w:val="baseline"/>
        </w:rPr>
        <w:t>Yoshihiro</w:t>
      </w:r>
      <w:r>
        <w:rPr>
          <w:spacing w:val="16"/>
          <w:sz w:val="26"/>
          <w:vertAlign w:val="baseline"/>
        </w:rPr>
        <w:t> </w:t>
      </w:r>
      <w:r>
        <w:rPr>
          <w:sz w:val="26"/>
          <w:vertAlign w:val="baseline"/>
        </w:rPr>
        <w:t>Maegaki</w:t>
      </w:r>
      <w:r>
        <w:rPr>
          <w:spacing w:val="-20"/>
          <w:sz w:val="26"/>
          <w:vertAlign w:val="baseline"/>
        </w:rPr>
        <w:t> </w:t>
      </w:r>
      <w:hyperlink w:history="true" w:anchor="_bookmark0">
        <w:r>
          <w:rPr>
            <w:color w:val="007FAD"/>
            <w:sz w:val="26"/>
            <w:vertAlign w:val="superscript"/>
          </w:rPr>
          <w:t>a</w:t>
        </w:r>
      </w:hyperlink>
      <w:r>
        <w:rPr>
          <w:sz w:val="26"/>
          <w:vertAlign w:val="superscript"/>
        </w:rPr>
        <w:t>,</w:t>
      </w:r>
      <w:hyperlink w:history="true" w:anchor="_bookmark10">
        <w:r>
          <w:rPr>
            <w:rFonts w:ascii="Apple SD Gothic Neo Light" w:hAnsi="Apple SD Gothic Neo Light"/>
            <w:color w:val="007FAD"/>
            <w:sz w:val="26"/>
            <w:vertAlign w:val="superscript"/>
          </w:rPr>
          <w:t>⇑</w:t>
        </w:r>
      </w:hyperlink>
      <w:r>
        <w:rPr>
          <w:sz w:val="26"/>
          <w:vertAlign w:val="baseline"/>
        </w:rPr>
        <w:t>, Kei</w:t>
      </w:r>
      <w:r>
        <w:rPr>
          <w:spacing w:val="15"/>
          <w:sz w:val="26"/>
          <w:vertAlign w:val="baseline"/>
        </w:rPr>
        <w:t> </w:t>
      </w:r>
      <w:r>
        <w:rPr>
          <w:sz w:val="26"/>
          <w:vertAlign w:val="baseline"/>
        </w:rPr>
        <w:t>Murayama</w:t>
      </w:r>
      <w:r>
        <w:rPr>
          <w:spacing w:val="-20"/>
          <w:sz w:val="26"/>
          <w:vertAlign w:val="baseline"/>
        </w:rPr>
        <w:t> </w:t>
      </w:r>
      <w:hyperlink w:history="true" w:anchor="_bookmark2">
        <w:r>
          <w:rPr>
            <w:color w:val="007FAD"/>
            <w:sz w:val="26"/>
            <w:vertAlign w:val="superscript"/>
          </w:rPr>
          <w:t>c</w:t>
        </w:r>
      </w:hyperlink>
      <w:r>
        <w:rPr>
          <w:sz w:val="26"/>
          <w:vertAlign w:val="baseline"/>
        </w:rPr>
        <w:t>, Taro</w:t>
      </w:r>
      <w:r>
        <w:rPr>
          <w:spacing w:val="15"/>
          <w:sz w:val="26"/>
          <w:vertAlign w:val="baseline"/>
        </w:rPr>
        <w:t> </w:t>
      </w:r>
      <w:r>
        <w:rPr>
          <w:sz w:val="26"/>
          <w:vertAlign w:val="baseline"/>
        </w:rPr>
        <w:t>Yamazaki</w:t>
      </w:r>
      <w:r>
        <w:rPr>
          <w:spacing w:val="-20"/>
          <w:sz w:val="26"/>
          <w:vertAlign w:val="baseline"/>
        </w:rPr>
        <w:t> </w:t>
      </w:r>
      <w:hyperlink w:history="true" w:anchor="_bookmark3">
        <w:r>
          <w:rPr>
            <w:color w:val="007FAD"/>
            <w:sz w:val="26"/>
            <w:vertAlign w:val="superscript"/>
          </w:rPr>
          <w:t>d</w:t>
        </w:r>
      </w:hyperlink>
      <w:r>
        <w:rPr>
          <w:sz w:val="26"/>
          <w:vertAlign w:val="baseline"/>
        </w:rPr>
        <w:t>, Masakazu</w:t>
      </w:r>
      <w:r>
        <w:rPr>
          <w:spacing w:val="40"/>
          <w:sz w:val="26"/>
          <w:vertAlign w:val="baseline"/>
        </w:rPr>
        <w:t> </w:t>
      </w:r>
      <w:r>
        <w:rPr>
          <w:sz w:val="26"/>
          <w:vertAlign w:val="baseline"/>
        </w:rPr>
        <w:t>Kohda</w:t>
      </w:r>
      <w:r>
        <w:rPr>
          <w:spacing w:val="-11"/>
          <w:sz w:val="26"/>
          <w:vertAlign w:val="baseline"/>
        </w:rPr>
        <w:t> </w:t>
      </w:r>
      <w:hyperlink w:history="true" w:anchor="_bookmark4">
        <w:r>
          <w:rPr>
            <w:color w:val="007FAD"/>
            <w:sz w:val="26"/>
            <w:vertAlign w:val="superscript"/>
          </w:rPr>
          <w:t>e</w:t>
        </w:r>
      </w:hyperlink>
      <w:r>
        <w:rPr>
          <w:sz w:val="26"/>
          <w:vertAlign w:val="baseline"/>
        </w:rPr>
        <w:t>, Akira</w:t>
      </w:r>
      <w:r>
        <w:rPr>
          <w:spacing w:val="40"/>
          <w:sz w:val="26"/>
          <w:vertAlign w:val="baseline"/>
        </w:rPr>
        <w:t> </w:t>
      </w:r>
      <w:r>
        <w:rPr>
          <w:sz w:val="26"/>
          <w:vertAlign w:val="baseline"/>
        </w:rPr>
        <w:t>Ohtake</w:t>
      </w:r>
      <w:r>
        <w:rPr>
          <w:spacing w:val="-9"/>
          <w:sz w:val="26"/>
          <w:vertAlign w:val="baseline"/>
        </w:rPr>
        <w:t> </w:t>
      </w:r>
      <w:hyperlink w:history="true" w:anchor="_bookmark3">
        <w:r>
          <w:rPr>
            <w:color w:val="007FAD"/>
            <w:sz w:val="26"/>
            <w:vertAlign w:val="superscript"/>
          </w:rPr>
          <w:t>d</w:t>
        </w:r>
      </w:hyperlink>
      <w:r>
        <w:rPr>
          <w:sz w:val="26"/>
          <w:vertAlign w:val="baseline"/>
        </w:rPr>
        <w:t>, Hiroyasu</w:t>
      </w:r>
      <w:r>
        <w:rPr>
          <w:spacing w:val="40"/>
          <w:sz w:val="26"/>
          <w:vertAlign w:val="baseline"/>
        </w:rPr>
        <w:t> </w:t>
      </w:r>
      <w:r>
        <w:rPr>
          <w:sz w:val="26"/>
          <w:vertAlign w:val="baseline"/>
        </w:rPr>
        <w:t>Iwasa</w:t>
      </w:r>
      <w:r>
        <w:rPr>
          <w:spacing w:val="-8"/>
          <w:sz w:val="26"/>
          <w:vertAlign w:val="baseline"/>
        </w:rPr>
        <w:t> </w:t>
      </w:r>
      <w:hyperlink w:history="true" w:anchor="_bookmark4">
        <w:r>
          <w:rPr>
            <w:color w:val="007FAD"/>
            <w:sz w:val="26"/>
            <w:vertAlign w:val="superscript"/>
          </w:rPr>
          <w:t>e</w:t>
        </w:r>
      </w:hyperlink>
      <w:r>
        <w:rPr>
          <w:sz w:val="26"/>
          <w:vertAlign w:val="baseline"/>
        </w:rPr>
        <w:t>, Yukiko Yatsuka</w:t>
      </w:r>
      <w:r>
        <w:rPr>
          <w:spacing w:val="-9"/>
          <w:sz w:val="26"/>
          <w:vertAlign w:val="baseline"/>
        </w:rPr>
        <w:t> </w:t>
      </w:r>
      <w:hyperlink w:history="true" w:anchor="_bookmark5">
        <w:r>
          <w:rPr>
            <w:color w:val="007FAD"/>
            <w:sz w:val="26"/>
            <w:vertAlign w:val="superscript"/>
          </w:rPr>
          <w:t>f</w:t>
        </w:r>
      </w:hyperlink>
      <w:r>
        <w:rPr>
          <w:sz w:val="26"/>
          <w:vertAlign w:val="baseline"/>
        </w:rPr>
        <w:t>, Yasushi</w:t>
      </w:r>
      <w:r>
        <w:rPr>
          <w:spacing w:val="36"/>
          <w:sz w:val="26"/>
          <w:vertAlign w:val="baseline"/>
        </w:rPr>
        <w:t> </w:t>
      </w:r>
      <w:r>
        <w:rPr>
          <w:sz w:val="26"/>
          <w:vertAlign w:val="baseline"/>
        </w:rPr>
        <w:t>Okazaki</w:t>
      </w:r>
      <w:r>
        <w:rPr>
          <w:spacing w:val="-13"/>
          <w:sz w:val="26"/>
          <w:vertAlign w:val="baseline"/>
        </w:rPr>
        <w:t> </w:t>
      </w:r>
      <w:hyperlink w:history="true" w:anchor="_bookmark4">
        <w:r>
          <w:rPr>
            <w:color w:val="007FAD"/>
            <w:sz w:val="26"/>
            <w:vertAlign w:val="superscript"/>
          </w:rPr>
          <w:t>e</w:t>
        </w:r>
      </w:hyperlink>
      <w:r>
        <w:rPr>
          <w:sz w:val="26"/>
          <w:vertAlign w:val="superscript"/>
        </w:rPr>
        <w:t>,</w:t>
      </w:r>
      <w:hyperlink w:history="true" w:anchor="_bookmark5">
        <w:r>
          <w:rPr>
            <w:color w:val="007FAD"/>
            <w:sz w:val="26"/>
            <w:vertAlign w:val="superscript"/>
          </w:rPr>
          <w:t>f</w:t>
        </w:r>
      </w:hyperlink>
      <w:r>
        <w:rPr>
          <w:sz w:val="26"/>
          <w:vertAlign w:val="baseline"/>
        </w:rPr>
        <w:t>, Chitose</w:t>
      </w:r>
      <w:r>
        <w:rPr>
          <w:spacing w:val="36"/>
          <w:sz w:val="26"/>
          <w:vertAlign w:val="baseline"/>
        </w:rPr>
        <w:t> </w:t>
      </w:r>
      <w:r>
        <w:rPr>
          <w:sz w:val="26"/>
          <w:vertAlign w:val="baseline"/>
        </w:rPr>
        <w:t>Sugiura</w:t>
      </w:r>
      <w:r>
        <w:rPr>
          <w:spacing w:val="-15"/>
          <w:sz w:val="26"/>
          <w:vertAlign w:val="baseline"/>
        </w:rPr>
        <w:t> </w:t>
      </w:r>
      <w:hyperlink w:history="true" w:anchor="_bookmark0">
        <w:r>
          <w:rPr>
            <w:color w:val="007FAD"/>
            <w:sz w:val="26"/>
            <w:vertAlign w:val="superscript"/>
          </w:rPr>
          <w:t>a</w:t>
        </w:r>
      </w:hyperlink>
      <w:r>
        <w:rPr>
          <w:sz w:val="26"/>
          <w:vertAlign w:val="baseline"/>
        </w:rPr>
        <w:t>, Ikuo</w:t>
      </w:r>
      <w:r>
        <w:rPr>
          <w:spacing w:val="36"/>
          <w:sz w:val="26"/>
          <w:vertAlign w:val="baseline"/>
        </w:rPr>
        <w:t> </w:t>
      </w:r>
      <w:r>
        <w:rPr>
          <w:sz w:val="26"/>
          <w:vertAlign w:val="baseline"/>
        </w:rPr>
        <w:t>Nagata</w:t>
      </w:r>
      <w:r>
        <w:rPr>
          <w:spacing w:val="-14"/>
          <w:sz w:val="26"/>
          <w:vertAlign w:val="baseline"/>
        </w:rPr>
        <w:t> </w:t>
      </w:r>
      <w:hyperlink w:history="true" w:anchor="_bookmark6">
        <w:r>
          <w:rPr>
            <w:color w:val="007FAD"/>
            <w:sz w:val="26"/>
            <w:vertAlign w:val="superscript"/>
          </w:rPr>
          <w:t>g</w:t>
        </w:r>
      </w:hyperlink>
      <w:r>
        <w:rPr>
          <w:sz w:val="26"/>
          <w:vertAlign w:val="baseline"/>
        </w:rPr>
        <w:t>, Mitsuo</w:t>
      </w:r>
      <w:r>
        <w:rPr>
          <w:spacing w:val="36"/>
          <w:sz w:val="26"/>
          <w:vertAlign w:val="baseline"/>
        </w:rPr>
        <w:t> </w:t>
      </w:r>
      <w:r>
        <w:rPr>
          <w:sz w:val="26"/>
          <w:vertAlign w:val="baseline"/>
        </w:rPr>
        <w:t>Toyoshima</w:t>
      </w:r>
      <w:r>
        <w:rPr>
          <w:spacing w:val="-13"/>
          <w:sz w:val="26"/>
          <w:vertAlign w:val="baseline"/>
        </w:rPr>
        <w:t> </w:t>
      </w:r>
      <w:hyperlink w:history="true" w:anchor="_bookmark7">
        <w:r>
          <w:rPr>
            <w:color w:val="007FAD"/>
            <w:sz w:val="26"/>
            <w:vertAlign w:val="superscript"/>
          </w:rPr>
          <w:t>h</w:t>
        </w:r>
      </w:hyperlink>
      <w:r>
        <w:rPr>
          <w:sz w:val="26"/>
          <w:vertAlign w:val="baseline"/>
        </w:rPr>
        <w:t>,</w:t>
      </w:r>
    </w:p>
    <w:p>
      <w:pPr>
        <w:spacing w:before="7"/>
        <w:ind w:left="1344" w:right="0" w:firstLine="0"/>
        <w:jc w:val="left"/>
        <w:rPr>
          <w:sz w:val="26"/>
        </w:rPr>
      </w:pPr>
      <w:r>
        <w:rPr>
          <w:sz w:val="26"/>
        </w:rPr>
        <w:t>Yoshiaki Saito</w:t>
      </w:r>
      <w:r>
        <w:rPr>
          <w:spacing w:val="-20"/>
          <w:sz w:val="26"/>
        </w:rPr>
        <w:t> </w:t>
      </w:r>
      <w:hyperlink w:history="true" w:anchor="_bookmark0">
        <w:r>
          <w:rPr>
            <w:color w:val="007FAD"/>
            <w:sz w:val="26"/>
            <w:vertAlign w:val="superscript"/>
          </w:rPr>
          <w:t>a</w:t>
        </w:r>
      </w:hyperlink>
      <w:r>
        <w:rPr>
          <w:sz w:val="26"/>
          <w:vertAlign w:val="baseline"/>
        </w:rPr>
        <w:t>,</w:t>
      </w:r>
      <w:r>
        <w:rPr>
          <w:spacing w:val="15"/>
          <w:sz w:val="26"/>
          <w:vertAlign w:val="baseline"/>
        </w:rPr>
        <w:t> </w:t>
      </w:r>
      <w:r>
        <w:rPr>
          <w:sz w:val="26"/>
          <w:vertAlign w:val="baseline"/>
        </w:rPr>
        <w:t>Masayuki</w:t>
      </w:r>
      <w:r>
        <w:rPr>
          <w:spacing w:val="16"/>
          <w:sz w:val="26"/>
          <w:vertAlign w:val="baseline"/>
        </w:rPr>
        <w:t> </w:t>
      </w:r>
      <w:r>
        <w:rPr>
          <w:sz w:val="26"/>
          <w:vertAlign w:val="baseline"/>
        </w:rPr>
        <w:t>Itoh</w:t>
      </w:r>
      <w:r>
        <w:rPr>
          <w:spacing w:val="-20"/>
          <w:sz w:val="26"/>
          <w:vertAlign w:val="baseline"/>
        </w:rPr>
        <w:t> </w:t>
      </w:r>
      <w:hyperlink w:history="true" w:anchor="_bookmark8">
        <w:r>
          <w:rPr>
            <w:color w:val="007FAD"/>
            <w:sz w:val="26"/>
            <w:vertAlign w:val="superscript"/>
          </w:rPr>
          <w:t>i</w:t>
        </w:r>
      </w:hyperlink>
      <w:r>
        <w:rPr>
          <w:sz w:val="26"/>
          <w:vertAlign w:val="baseline"/>
        </w:rPr>
        <w:t>,</w:t>
      </w:r>
      <w:r>
        <w:rPr>
          <w:spacing w:val="16"/>
          <w:sz w:val="26"/>
          <w:vertAlign w:val="baseline"/>
        </w:rPr>
        <w:t> </w:t>
      </w:r>
      <w:r>
        <w:rPr>
          <w:sz w:val="26"/>
          <w:vertAlign w:val="baseline"/>
        </w:rPr>
        <w:t>Ichizo</w:t>
      </w:r>
      <w:r>
        <w:rPr>
          <w:spacing w:val="16"/>
          <w:sz w:val="26"/>
          <w:vertAlign w:val="baseline"/>
        </w:rPr>
        <w:t> </w:t>
      </w:r>
      <w:r>
        <w:rPr>
          <w:sz w:val="26"/>
          <w:vertAlign w:val="baseline"/>
        </w:rPr>
        <w:t>Nishino</w:t>
      </w:r>
      <w:r>
        <w:rPr>
          <w:spacing w:val="-19"/>
          <w:sz w:val="26"/>
          <w:vertAlign w:val="baseline"/>
        </w:rPr>
        <w:t> </w:t>
      </w:r>
      <w:hyperlink w:history="true" w:anchor="_bookmark9">
        <w:r>
          <w:rPr>
            <w:color w:val="007FAD"/>
            <w:sz w:val="26"/>
            <w:vertAlign w:val="superscript"/>
          </w:rPr>
          <w:t>j</w:t>
        </w:r>
      </w:hyperlink>
      <w:r>
        <w:rPr>
          <w:sz w:val="26"/>
          <w:vertAlign w:val="baseline"/>
        </w:rPr>
        <w:t>,</w:t>
      </w:r>
      <w:r>
        <w:rPr>
          <w:spacing w:val="15"/>
          <w:sz w:val="26"/>
          <w:vertAlign w:val="baseline"/>
        </w:rPr>
        <w:t> </w:t>
      </w:r>
      <w:r>
        <w:rPr>
          <w:sz w:val="26"/>
          <w:vertAlign w:val="baseline"/>
        </w:rPr>
        <w:t>Kousaku</w:t>
      </w:r>
      <w:r>
        <w:rPr>
          <w:spacing w:val="16"/>
          <w:sz w:val="26"/>
          <w:vertAlign w:val="baseline"/>
        </w:rPr>
        <w:t> </w:t>
      </w:r>
      <w:r>
        <w:rPr>
          <w:sz w:val="26"/>
          <w:vertAlign w:val="baseline"/>
        </w:rPr>
        <w:t>Ohno</w:t>
      </w:r>
      <w:r>
        <w:rPr>
          <w:spacing w:val="-20"/>
          <w:sz w:val="26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6"/>
            <w:vertAlign w:val="superscript"/>
          </w:rPr>
          <w:t>a</w:t>
        </w:r>
      </w:hyperlink>
    </w:p>
    <w:p>
      <w:pPr>
        <w:spacing w:before="182"/>
        <w:ind w:left="2" w:right="159" w:firstLine="0"/>
        <w:jc w:val="center"/>
        <w:rPr>
          <w:rFonts w:ascii="Times New Roman"/>
          <w:i/>
          <w:sz w:val="16"/>
        </w:rPr>
      </w:pPr>
      <w:bookmarkStart w:name="_bookmark0" w:id="2"/>
      <w:bookmarkEnd w:id="2"/>
      <w:r>
        <w:rPr/>
      </w:r>
      <w:bookmarkStart w:name="_bookmark1" w:id="3"/>
      <w:bookmarkEnd w:id="3"/>
      <w:r>
        <w:rPr/>
      </w:r>
      <w:r>
        <w:rPr>
          <w:w w:val="105"/>
          <w:sz w:val="16"/>
          <w:vertAlign w:val="superscript"/>
        </w:rPr>
        <w:t>a</w:t>
      </w:r>
      <w:r>
        <w:rPr>
          <w:spacing w:val="-15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Division</w:t>
      </w:r>
      <w:r>
        <w:rPr>
          <w:rFonts w:ascii="Times New Roman"/>
          <w:i/>
          <w:spacing w:val="-3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Child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Neurology,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Faculty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Medicine,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Tottori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University,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Yonago,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spacing w:val="-2"/>
          <w:w w:val="105"/>
          <w:sz w:val="16"/>
          <w:vertAlign w:val="baseline"/>
        </w:rPr>
        <w:t>Japan</w:t>
      </w:r>
    </w:p>
    <w:p>
      <w:pPr>
        <w:spacing w:before="15"/>
        <w:ind w:left="1" w:right="159" w:firstLine="0"/>
        <w:jc w:val="center"/>
        <w:rPr>
          <w:rFonts w:ascii="Times New Roman"/>
          <w:i/>
          <w:sz w:val="16"/>
        </w:rPr>
      </w:pPr>
      <w:bookmarkStart w:name="_bookmark2" w:id="4"/>
      <w:bookmarkEnd w:id="4"/>
      <w:r>
        <w:rPr/>
      </w:r>
      <w:r>
        <w:rPr>
          <w:w w:val="105"/>
          <w:sz w:val="16"/>
          <w:vertAlign w:val="superscript"/>
        </w:rPr>
        <w:t>b</w:t>
      </w:r>
      <w:r>
        <w:rPr>
          <w:spacing w:val="-14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Department</w:t>
      </w:r>
      <w:r>
        <w:rPr>
          <w:rFonts w:ascii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 Family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Medicine, Faculty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 Medicine,</w:t>
      </w:r>
      <w:r>
        <w:rPr>
          <w:rFonts w:ascii="Times New Roman"/>
          <w:i/>
          <w:spacing w:val="-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Cairo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University,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Cairo,</w:t>
      </w:r>
      <w:r>
        <w:rPr>
          <w:rFonts w:ascii="Times New Roman"/>
          <w:i/>
          <w:spacing w:val="-2"/>
          <w:w w:val="105"/>
          <w:sz w:val="16"/>
          <w:vertAlign w:val="baseline"/>
        </w:rPr>
        <w:t> Egypt</w:t>
      </w:r>
    </w:p>
    <w:p>
      <w:pPr>
        <w:spacing w:before="15"/>
        <w:ind w:left="2" w:right="159" w:firstLine="0"/>
        <w:jc w:val="center"/>
        <w:rPr>
          <w:rFonts w:ascii="Times New Roman" w:hAnsi="Times New Roman"/>
          <w:i/>
          <w:sz w:val="16"/>
        </w:rPr>
      </w:pPr>
      <w:bookmarkStart w:name="_bookmark3" w:id="5"/>
      <w:bookmarkEnd w:id="5"/>
      <w:r>
        <w:rPr/>
      </w:r>
      <w:r>
        <w:rPr>
          <w:w w:val="105"/>
          <w:sz w:val="16"/>
          <w:vertAlign w:val="superscript"/>
        </w:rPr>
        <w:t>c</w:t>
      </w:r>
      <w:r>
        <w:rPr>
          <w:spacing w:val="-15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Department</w:t>
      </w:r>
      <w:r>
        <w:rPr>
          <w:rFonts w:ascii="Times New Roman" w:hAnsi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of</w:t>
      </w:r>
      <w:r>
        <w:rPr>
          <w:rFonts w:ascii="Times New Roman" w:hAns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Metabolism,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Chiba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Children’s</w:t>
      </w:r>
      <w:r>
        <w:rPr>
          <w:rFonts w:ascii="Times New Roman" w:hAnsi="Times New Roman"/>
          <w:i/>
          <w:spacing w:val="-6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Hospital,</w:t>
      </w:r>
      <w:r>
        <w:rPr>
          <w:rFonts w:ascii="Times New Roman" w:hAnsi="Times New Roman"/>
          <w:i/>
          <w:spacing w:val="-5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Chiba,</w:t>
      </w:r>
      <w:r>
        <w:rPr>
          <w:rFonts w:ascii="Times New Roman" w:hAnsi="Times New Roman"/>
          <w:i/>
          <w:spacing w:val="-4"/>
          <w:w w:val="105"/>
          <w:sz w:val="16"/>
          <w:vertAlign w:val="baseline"/>
        </w:rPr>
        <w:t> Japan</w:t>
      </w:r>
    </w:p>
    <w:p>
      <w:pPr>
        <w:spacing w:before="14"/>
        <w:ind w:left="2" w:right="159" w:firstLine="0"/>
        <w:jc w:val="center"/>
        <w:rPr>
          <w:rFonts w:ascii="Times New Roman"/>
          <w:i/>
          <w:sz w:val="16"/>
        </w:rPr>
      </w:pPr>
      <w:bookmarkStart w:name="_bookmark4" w:id="6"/>
      <w:bookmarkEnd w:id="6"/>
      <w:r>
        <w:rPr/>
      </w:r>
      <w:r>
        <w:rPr>
          <w:w w:val="105"/>
          <w:sz w:val="16"/>
          <w:vertAlign w:val="superscript"/>
        </w:rPr>
        <w:t>d</w:t>
      </w:r>
      <w:r>
        <w:rPr>
          <w:spacing w:val="-15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Department</w:t>
      </w:r>
      <w:r>
        <w:rPr>
          <w:rFonts w:ascii="Times New Roman"/>
          <w:i/>
          <w:spacing w:val="-5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Pediatrics,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School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Medicine,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Saitama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Medical University,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Saitama,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spacing w:val="-2"/>
          <w:w w:val="105"/>
          <w:sz w:val="16"/>
          <w:vertAlign w:val="baseline"/>
        </w:rPr>
        <w:t>Japan</w:t>
      </w:r>
    </w:p>
    <w:p>
      <w:pPr>
        <w:spacing w:before="15"/>
        <w:ind w:left="2" w:right="159" w:firstLine="0"/>
        <w:jc w:val="center"/>
        <w:rPr>
          <w:rFonts w:ascii="Times New Roman"/>
          <w:i/>
          <w:sz w:val="16"/>
        </w:rPr>
      </w:pPr>
      <w:bookmarkStart w:name="_bookmark5" w:id="7"/>
      <w:bookmarkEnd w:id="7"/>
      <w:r>
        <w:rPr/>
      </w:r>
      <w:r>
        <w:rPr>
          <w:sz w:val="16"/>
          <w:vertAlign w:val="superscript"/>
        </w:rPr>
        <w:t>e</w:t>
      </w:r>
      <w:r>
        <w:rPr>
          <w:spacing w:val="-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Division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of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Translational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Research,</w:t>
      </w:r>
      <w:r>
        <w:rPr>
          <w:rFonts w:ascii="Times New Roman"/>
          <w:i/>
          <w:spacing w:val="2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Research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Center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for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Genomic</w:t>
      </w:r>
      <w:r>
        <w:rPr>
          <w:rFonts w:ascii="Times New Roman"/>
          <w:i/>
          <w:spacing w:val="2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Medicine,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Saitama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Medical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University,</w:t>
      </w:r>
      <w:r>
        <w:rPr>
          <w:rFonts w:ascii="Times New Roman"/>
          <w:i/>
          <w:spacing w:val="2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Hidaka,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Japan</w:t>
      </w:r>
    </w:p>
    <w:p>
      <w:pPr>
        <w:spacing w:before="15"/>
        <w:ind w:left="1" w:right="159" w:firstLine="0"/>
        <w:jc w:val="center"/>
        <w:rPr>
          <w:rFonts w:ascii="Times New Roman"/>
          <w:i/>
          <w:sz w:val="16"/>
        </w:rPr>
      </w:pPr>
      <w:bookmarkStart w:name="_bookmark6" w:id="8"/>
      <w:bookmarkEnd w:id="8"/>
      <w:r>
        <w:rPr/>
      </w:r>
      <w:r>
        <w:rPr>
          <w:sz w:val="16"/>
          <w:vertAlign w:val="superscript"/>
        </w:rPr>
        <w:t>f</w:t>
      </w:r>
      <w:r>
        <w:rPr>
          <w:spacing w:val="-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Division</w:t>
      </w:r>
      <w:r>
        <w:rPr>
          <w:rFonts w:ascii="Times New Roman"/>
          <w:i/>
          <w:spacing w:val="21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of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Functional</w:t>
      </w:r>
      <w:r>
        <w:rPr>
          <w:rFonts w:ascii="Times New Roman"/>
          <w:i/>
          <w:spacing w:val="21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Genomics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&amp;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Systems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Medicine,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Research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Center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for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Genomic</w:t>
      </w:r>
      <w:r>
        <w:rPr>
          <w:rFonts w:ascii="Times New Roman"/>
          <w:i/>
          <w:spacing w:val="2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Medicine,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Saitama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Medical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University,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Hidaka,</w:t>
      </w:r>
      <w:r>
        <w:rPr>
          <w:rFonts w:ascii="Times New Roman"/>
          <w:i/>
          <w:spacing w:val="22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Japan</w:t>
      </w:r>
    </w:p>
    <w:p>
      <w:pPr>
        <w:spacing w:before="15"/>
        <w:ind w:left="2" w:right="159" w:firstLine="0"/>
        <w:jc w:val="center"/>
        <w:rPr>
          <w:rFonts w:ascii="Times New Roman"/>
          <w:i/>
          <w:sz w:val="16"/>
        </w:rPr>
      </w:pPr>
      <w:bookmarkStart w:name="_bookmark7" w:id="9"/>
      <w:bookmarkEnd w:id="9"/>
      <w:r>
        <w:rPr/>
      </w:r>
      <w:r>
        <w:rPr>
          <w:w w:val="105"/>
          <w:sz w:val="16"/>
          <w:vertAlign w:val="superscript"/>
        </w:rPr>
        <w:t>g</w:t>
      </w:r>
      <w:r>
        <w:rPr>
          <w:spacing w:val="-15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Division</w:t>
      </w:r>
      <w:r>
        <w:rPr>
          <w:rFonts w:asci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Pediatrics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and</w:t>
      </w:r>
      <w:r>
        <w:rPr>
          <w:rFonts w:ascii="Times New Roman"/>
          <w:i/>
          <w:spacing w:val="-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Perinatology, Faculty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Medicine, Tottori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University,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Yonago,</w:t>
      </w:r>
      <w:r>
        <w:rPr>
          <w:rFonts w:ascii="Times New Roman"/>
          <w:i/>
          <w:spacing w:val="-2"/>
          <w:w w:val="105"/>
          <w:sz w:val="16"/>
          <w:vertAlign w:val="baseline"/>
        </w:rPr>
        <w:t> Japan</w:t>
      </w:r>
    </w:p>
    <w:p>
      <w:pPr>
        <w:spacing w:before="14"/>
        <w:ind w:left="2" w:right="159" w:firstLine="0"/>
        <w:jc w:val="center"/>
        <w:rPr>
          <w:rFonts w:ascii="Times New Roman"/>
          <w:i/>
          <w:sz w:val="16"/>
        </w:rPr>
      </w:pPr>
      <w:bookmarkStart w:name="_bookmark8" w:id="10"/>
      <w:bookmarkEnd w:id="10"/>
      <w:r>
        <w:rPr/>
      </w:r>
      <w:r>
        <w:rPr>
          <w:w w:val="105"/>
          <w:sz w:val="16"/>
          <w:vertAlign w:val="superscript"/>
        </w:rPr>
        <w:t>h</w:t>
      </w:r>
      <w:r>
        <w:rPr>
          <w:spacing w:val="-14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Department</w:t>
      </w:r>
      <w:r>
        <w:rPr>
          <w:rFonts w:ascii="Times New Roman"/>
          <w:i/>
          <w:spacing w:val="-8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-8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Pediatrics,</w:t>
      </w:r>
      <w:r>
        <w:rPr>
          <w:rFonts w:asci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Graduate</w:t>
      </w:r>
      <w:r>
        <w:rPr>
          <w:rFonts w:ascii="Times New Roman"/>
          <w:i/>
          <w:spacing w:val="-9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School</w:t>
      </w:r>
      <w:r>
        <w:rPr>
          <w:rFonts w:ascii="Times New Roman"/>
          <w:i/>
          <w:spacing w:val="-8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Medical</w:t>
      </w:r>
      <w:r>
        <w:rPr>
          <w:rFonts w:ascii="Times New Roman"/>
          <w:i/>
          <w:spacing w:val="-6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and</w:t>
      </w:r>
      <w:r>
        <w:rPr>
          <w:rFonts w:ascii="Times New Roman"/>
          <w:i/>
          <w:spacing w:val="-6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Dental</w:t>
      </w:r>
      <w:r>
        <w:rPr>
          <w:rFonts w:asci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Sciences,</w:t>
      </w:r>
      <w:r>
        <w:rPr>
          <w:rFonts w:ascii="Times New Roman"/>
          <w:i/>
          <w:spacing w:val="-6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Kagoshima</w:t>
      </w:r>
      <w:r>
        <w:rPr>
          <w:rFonts w:asci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University,</w:t>
      </w:r>
      <w:r>
        <w:rPr>
          <w:rFonts w:ascii="Times New Roman"/>
          <w:i/>
          <w:spacing w:val="-7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Kagoshima,</w:t>
      </w:r>
      <w:r>
        <w:rPr>
          <w:rFonts w:ascii="Times New Roman"/>
          <w:i/>
          <w:spacing w:val="-6"/>
          <w:w w:val="105"/>
          <w:sz w:val="16"/>
          <w:vertAlign w:val="baseline"/>
        </w:rPr>
        <w:t> </w:t>
      </w:r>
      <w:r>
        <w:rPr>
          <w:rFonts w:ascii="Times New Roman"/>
          <w:i/>
          <w:spacing w:val="-2"/>
          <w:w w:val="105"/>
          <w:sz w:val="16"/>
          <w:vertAlign w:val="baseline"/>
        </w:rPr>
        <w:t>Japan</w:t>
      </w:r>
    </w:p>
    <w:p>
      <w:pPr>
        <w:spacing w:before="15"/>
        <w:ind w:left="2" w:right="159" w:firstLine="0"/>
        <w:jc w:val="center"/>
        <w:rPr>
          <w:rFonts w:ascii="Times New Roman"/>
          <w:i/>
          <w:sz w:val="16"/>
        </w:rPr>
      </w:pPr>
      <w:bookmarkStart w:name="_bookmark9" w:id="11"/>
      <w:bookmarkEnd w:id="11"/>
      <w:r>
        <w:rPr/>
      </w:r>
      <w:r>
        <w:rPr>
          <w:w w:val="105"/>
          <w:sz w:val="16"/>
          <w:vertAlign w:val="superscript"/>
        </w:rPr>
        <w:t>i</w:t>
      </w:r>
      <w:r>
        <w:rPr>
          <w:spacing w:val="-14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Department</w:t>
      </w:r>
      <w:r>
        <w:rPr>
          <w:rFonts w:asci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4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Mental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Retardation</w:t>
      </w:r>
      <w:r>
        <w:rPr>
          <w:rFonts w:ascii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and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Birth</w:t>
      </w:r>
      <w:r>
        <w:rPr>
          <w:rFonts w:ascii="Times New Roman"/>
          <w:i/>
          <w:spacing w:val="4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Defect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Research,</w:t>
      </w:r>
      <w:r>
        <w:rPr>
          <w:rFonts w:ascii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National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Center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of</w:t>
      </w:r>
      <w:r>
        <w:rPr>
          <w:rFonts w:ascii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Neurology</w:t>
      </w:r>
      <w:r>
        <w:rPr>
          <w:rFonts w:ascii="Times New Roman"/>
          <w:i/>
          <w:spacing w:val="1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and</w:t>
      </w:r>
      <w:r>
        <w:rPr>
          <w:rFonts w:ascii="Times New Roman"/>
          <w:i/>
          <w:spacing w:val="3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Psychiatry,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w w:val="105"/>
          <w:sz w:val="16"/>
          <w:vertAlign w:val="baseline"/>
        </w:rPr>
        <w:t>Tokyo,</w:t>
      </w:r>
      <w:r>
        <w:rPr>
          <w:rFonts w:ascii="Times New Roman"/>
          <w:i/>
          <w:spacing w:val="2"/>
          <w:w w:val="105"/>
          <w:sz w:val="16"/>
          <w:vertAlign w:val="baseline"/>
        </w:rPr>
        <w:t> </w:t>
      </w:r>
      <w:r>
        <w:rPr>
          <w:rFonts w:ascii="Times New Roman"/>
          <w:i/>
          <w:spacing w:val="-2"/>
          <w:w w:val="105"/>
          <w:sz w:val="16"/>
          <w:vertAlign w:val="baseline"/>
        </w:rPr>
        <w:t>Japan</w:t>
      </w:r>
    </w:p>
    <w:p>
      <w:pPr>
        <w:spacing w:before="15"/>
        <w:ind w:left="1" w:right="159" w:firstLine="0"/>
        <w:jc w:val="center"/>
        <w:rPr>
          <w:rFonts w:ascii="Times New Roman"/>
          <w:i/>
          <w:sz w:val="16"/>
        </w:rPr>
      </w:pPr>
      <w:r>
        <w:rPr>
          <w:sz w:val="16"/>
          <w:vertAlign w:val="superscript"/>
        </w:rPr>
        <w:t>j</w:t>
      </w:r>
      <w:r>
        <w:rPr>
          <w:spacing w:val="-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Department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of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Neuromuscular</w:t>
      </w:r>
      <w:r>
        <w:rPr>
          <w:rFonts w:ascii="Times New Roman"/>
          <w:i/>
          <w:spacing w:val="2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Research,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National</w:t>
      </w:r>
      <w:r>
        <w:rPr>
          <w:rFonts w:ascii="Times New Roman"/>
          <w:i/>
          <w:spacing w:val="2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Institute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of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Neuroscience,</w:t>
      </w:r>
      <w:r>
        <w:rPr>
          <w:rFonts w:ascii="Times New Roman"/>
          <w:i/>
          <w:spacing w:val="28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National</w:t>
      </w:r>
      <w:r>
        <w:rPr>
          <w:rFonts w:ascii="Times New Roman"/>
          <w:i/>
          <w:spacing w:val="2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Center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of</w:t>
      </w:r>
      <w:r>
        <w:rPr>
          <w:rFonts w:ascii="Times New Roman"/>
          <w:i/>
          <w:spacing w:val="28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Neurology</w:t>
      </w:r>
      <w:r>
        <w:rPr>
          <w:rFonts w:ascii="Times New Roman"/>
          <w:i/>
          <w:spacing w:val="2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and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Psychiatry,</w:t>
      </w:r>
      <w:r>
        <w:rPr>
          <w:rFonts w:ascii="Times New Roman"/>
          <w:i/>
          <w:spacing w:val="24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Tokyo,</w:t>
      </w:r>
      <w:r>
        <w:rPr>
          <w:rFonts w:ascii="Times New Roman"/>
          <w:i/>
          <w:spacing w:val="26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Japan</w:t>
      </w:r>
    </w:p>
    <w:p>
      <w:pPr>
        <w:spacing w:before="139"/>
        <w:ind w:left="0" w:right="159" w:firstLine="0"/>
        <w:jc w:val="center"/>
        <w:rPr>
          <w:sz w:val="16"/>
        </w:rPr>
      </w:pPr>
      <w:r>
        <w:rPr>
          <w:spacing w:val="-2"/>
          <w:sz w:val="16"/>
        </w:rPr>
        <w:t>Received</w:t>
      </w:r>
      <w:r>
        <w:rPr>
          <w:sz w:val="16"/>
        </w:rPr>
        <w:t> </w:t>
      </w:r>
      <w:r>
        <w:rPr>
          <w:spacing w:val="-2"/>
          <w:sz w:val="16"/>
        </w:rPr>
        <w:t>8</w:t>
      </w:r>
      <w:r>
        <w:rPr>
          <w:sz w:val="16"/>
        </w:rPr>
        <w:t> </w:t>
      </w:r>
      <w:r>
        <w:rPr>
          <w:spacing w:val="-2"/>
          <w:sz w:val="16"/>
        </w:rPr>
        <w:t>August</w:t>
      </w:r>
      <w:r>
        <w:rPr>
          <w:sz w:val="16"/>
        </w:rPr>
        <w:t> </w:t>
      </w:r>
      <w:r>
        <w:rPr>
          <w:spacing w:val="-2"/>
          <w:sz w:val="16"/>
        </w:rPr>
        <w:t>2014;</w:t>
      </w:r>
      <w:r>
        <w:rPr>
          <w:sz w:val="16"/>
        </w:rPr>
        <w:t> </w:t>
      </w:r>
      <w:r>
        <w:rPr>
          <w:spacing w:val="-2"/>
          <w:sz w:val="16"/>
        </w:rPr>
        <w:t>received</w:t>
      </w:r>
      <w:r>
        <w:rPr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revised</w:t>
      </w:r>
      <w:r>
        <w:rPr>
          <w:sz w:val="16"/>
        </w:rPr>
        <w:t> </w:t>
      </w:r>
      <w:r>
        <w:rPr>
          <w:spacing w:val="-2"/>
          <w:sz w:val="16"/>
        </w:rPr>
        <w:t>form</w:t>
      </w:r>
      <w:r>
        <w:rPr>
          <w:sz w:val="16"/>
        </w:rPr>
        <w:t> </w:t>
      </w:r>
      <w:r>
        <w:rPr>
          <w:spacing w:val="-2"/>
          <w:sz w:val="16"/>
        </w:rPr>
        <w:t>6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October</w:t>
      </w:r>
      <w:r>
        <w:rPr>
          <w:sz w:val="16"/>
        </w:rPr>
        <w:t> </w:t>
      </w:r>
      <w:r>
        <w:rPr>
          <w:spacing w:val="-2"/>
          <w:sz w:val="16"/>
        </w:rPr>
        <w:t>2014;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accepted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26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October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2014</w:t>
      </w:r>
    </w:p>
    <w:p>
      <w:pPr>
        <w:pStyle w:val="BodyText"/>
      </w:pPr>
    </w:p>
    <w:p>
      <w:pPr>
        <w:pStyle w:val="BodyText"/>
        <w:spacing w:before="17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272390</wp:posOffset>
                </wp:positionV>
                <wp:extent cx="6377305" cy="635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37730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7305" h="6350">
                              <a:moveTo>
                                <a:pt x="6377038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6377038" y="5759"/>
                              </a:lnTo>
                              <a:lnTo>
                                <a:pt x="63770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1.448092pt;width:502.129pt;height:.45352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8"/>
        <w:ind w:left="142" w:right="0" w:firstLine="0"/>
        <w:jc w:val="left"/>
        <w:rPr>
          <w:rFonts w:ascii="Times New Roman"/>
          <w:sz w:val="18"/>
        </w:rPr>
      </w:pPr>
      <w:r>
        <w:rPr>
          <w:rFonts w:ascii="Times New Roman"/>
          <w:spacing w:val="-2"/>
          <w:w w:val="105"/>
          <w:sz w:val="18"/>
        </w:rPr>
        <w:t>Abstract</w:t>
      </w:r>
    </w:p>
    <w:p>
      <w:pPr>
        <w:pStyle w:val="BodyText"/>
        <w:spacing w:before="27"/>
        <w:rPr>
          <w:rFonts w:ascii="Times New Roman"/>
          <w:sz w:val="18"/>
        </w:rPr>
      </w:pPr>
    </w:p>
    <w:p>
      <w:pPr>
        <w:spacing w:line="256" w:lineRule="auto" w:before="0"/>
        <w:ind w:left="142" w:right="302" w:firstLine="235"/>
        <w:jc w:val="both"/>
        <w:rPr>
          <w:sz w:val="18"/>
        </w:rPr>
      </w:pPr>
      <w:r>
        <w:rPr>
          <w:sz w:val="18"/>
        </w:rPr>
        <w:t>We</w:t>
      </w:r>
      <w:r>
        <w:rPr>
          <w:spacing w:val="-6"/>
          <w:sz w:val="18"/>
        </w:rPr>
        <w:t> </w:t>
      </w:r>
      <w:r>
        <w:rPr>
          <w:sz w:val="18"/>
        </w:rPr>
        <w:t>report</w:t>
      </w:r>
      <w:r>
        <w:rPr>
          <w:spacing w:val="-5"/>
          <w:sz w:val="18"/>
        </w:rPr>
        <w:t> </w:t>
      </w:r>
      <w:r>
        <w:rPr>
          <w:sz w:val="18"/>
        </w:rPr>
        <w:t>on</w:t>
      </w:r>
      <w:r>
        <w:rPr>
          <w:spacing w:val="-5"/>
          <w:sz w:val="18"/>
        </w:rPr>
        <w:t> </w:t>
      </w:r>
      <w:r>
        <w:rPr>
          <w:sz w:val="18"/>
        </w:rPr>
        <w:t>the</w:t>
      </w:r>
      <w:r>
        <w:rPr>
          <w:spacing w:val="-5"/>
          <w:sz w:val="18"/>
        </w:rPr>
        <w:t> </w:t>
      </w:r>
      <w:r>
        <w:rPr>
          <w:sz w:val="18"/>
        </w:rPr>
        <w:t>clinical,</w:t>
      </w:r>
      <w:r>
        <w:rPr>
          <w:spacing w:val="-5"/>
          <w:sz w:val="18"/>
        </w:rPr>
        <w:t> </w:t>
      </w:r>
      <w:r>
        <w:rPr>
          <w:sz w:val="18"/>
        </w:rPr>
        <w:t>neuropathological,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genetic</w:t>
      </w:r>
      <w:r>
        <w:rPr>
          <w:spacing w:val="-5"/>
          <w:sz w:val="18"/>
        </w:rPr>
        <w:t> </w:t>
      </w:r>
      <w:r>
        <w:rPr>
          <w:sz w:val="18"/>
        </w:rPr>
        <w:t>ﬁndings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Japanese</w:t>
      </w:r>
      <w:r>
        <w:rPr>
          <w:spacing w:val="-5"/>
          <w:sz w:val="18"/>
        </w:rPr>
        <w:t> </w:t>
      </w:r>
      <w:r>
        <w:rPr>
          <w:sz w:val="18"/>
        </w:rPr>
        <w:t>case</w:t>
      </w:r>
      <w:r>
        <w:rPr>
          <w:spacing w:val="-5"/>
          <w:sz w:val="18"/>
        </w:rPr>
        <w:t> </w:t>
      </w:r>
      <w:r>
        <w:rPr>
          <w:sz w:val="18"/>
        </w:rPr>
        <w:t>with</w:t>
      </w:r>
      <w:r>
        <w:rPr>
          <w:spacing w:val="-5"/>
          <w:sz w:val="18"/>
        </w:rPr>
        <w:t> </w:t>
      </w:r>
      <w:r>
        <w:rPr>
          <w:sz w:val="18"/>
        </w:rPr>
        <w:t>myocerebrohepatopathy</w:t>
      </w:r>
      <w:r>
        <w:rPr>
          <w:spacing w:val="-5"/>
          <w:sz w:val="18"/>
        </w:rPr>
        <w:t> </w:t>
      </w:r>
      <w:r>
        <w:rPr>
          <w:sz w:val="18"/>
        </w:rPr>
        <w:t>spectrum </w:t>
      </w:r>
      <w:r>
        <w:rPr>
          <w:spacing w:val="-2"/>
          <w:sz w:val="18"/>
        </w:rPr>
        <w:t>(MCHS)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disorder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due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polymerase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gamma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(</w:t>
      </w:r>
      <w:r>
        <w:rPr>
          <w:rFonts w:ascii="Times New Roman" w:hAnsi="Times New Roman"/>
          <w:i/>
          <w:spacing w:val="-2"/>
          <w:sz w:val="18"/>
        </w:rPr>
        <w:t>POLG</w:t>
      </w:r>
      <w:r>
        <w:rPr>
          <w:spacing w:val="-2"/>
          <w:sz w:val="18"/>
        </w:rPr>
        <w:t>)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mutations.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girl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manifested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poor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sucking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failure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thrive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since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4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months of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age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had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frequent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vomiting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developmental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regression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5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months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age.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She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showed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signiﬁcant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hypotonia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hepato- megaly. Laboratory tests showed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hepatocellular dysfunction and elevated protein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and lactate levels in the cerebrospinal ﬂuid. Her </w:t>
      </w:r>
      <w:r>
        <w:rPr>
          <w:sz w:val="18"/>
        </w:rPr>
        <w:t>liver</w:t>
      </w:r>
      <w:r>
        <w:rPr>
          <w:spacing w:val="-11"/>
          <w:sz w:val="18"/>
        </w:rPr>
        <w:t> </w:t>
      </w:r>
      <w:r>
        <w:rPr>
          <w:sz w:val="18"/>
        </w:rPr>
        <w:t>function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neurologic</w:t>
      </w:r>
      <w:r>
        <w:rPr>
          <w:spacing w:val="-8"/>
          <w:sz w:val="18"/>
        </w:rPr>
        <w:t> </w:t>
      </w:r>
      <w:r>
        <w:rPr>
          <w:sz w:val="18"/>
        </w:rPr>
        <w:t>condition</w:t>
      </w:r>
      <w:r>
        <w:rPr>
          <w:spacing w:val="-8"/>
          <w:sz w:val="18"/>
        </w:rPr>
        <w:t> </w:t>
      </w:r>
      <w:r>
        <w:rPr>
          <w:sz w:val="18"/>
        </w:rPr>
        <w:t>exacerbated,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she</w:t>
      </w:r>
      <w:r>
        <w:rPr>
          <w:spacing w:val="-8"/>
          <w:sz w:val="18"/>
        </w:rPr>
        <w:t> </w:t>
      </w:r>
      <w:r>
        <w:rPr>
          <w:sz w:val="18"/>
        </w:rPr>
        <w:t>died</w:t>
      </w:r>
      <w:r>
        <w:rPr>
          <w:spacing w:val="-7"/>
          <w:sz w:val="18"/>
        </w:rPr>
        <w:t> </w:t>
      </w:r>
      <w:r>
        <w:rPr>
          <w:sz w:val="18"/>
        </w:rPr>
        <w:t>at</w:t>
      </w:r>
      <w:r>
        <w:rPr>
          <w:spacing w:val="-8"/>
          <w:sz w:val="18"/>
        </w:rPr>
        <w:t> </w:t>
      </w:r>
      <w:r>
        <w:rPr>
          <w:sz w:val="18"/>
        </w:rPr>
        <w:t>8</w:t>
      </w:r>
      <w:r>
        <w:rPr>
          <w:spacing w:val="-11"/>
          <w:sz w:val="18"/>
        </w:rPr>
        <w:t> </w:t>
      </w:r>
      <w:r>
        <w:rPr>
          <w:sz w:val="18"/>
        </w:rPr>
        <w:t>months</w:t>
      </w:r>
      <w:r>
        <w:rPr>
          <w:spacing w:val="-7"/>
          <w:sz w:val="18"/>
        </w:rPr>
        <w:t> </w:t>
      </w:r>
      <w:r>
        <w:rPr>
          <w:sz w:val="18"/>
        </w:rPr>
        <w:t>of</w:t>
      </w:r>
      <w:r>
        <w:rPr>
          <w:spacing w:val="-8"/>
          <w:sz w:val="18"/>
        </w:rPr>
        <w:t> </w:t>
      </w:r>
      <w:r>
        <w:rPr>
          <w:sz w:val="18"/>
        </w:rPr>
        <w:t>age.</w:t>
      </w:r>
      <w:r>
        <w:rPr>
          <w:spacing w:val="-8"/>
          <w:sz w:val="18"/>
        </w:rPr>
        <w:t> </w:t>
      </w:r>
      <w:r>
        <w:rPr>
          <w:sz w:val="18"/>
        </w:rPr>
        <w:t>At</w:t>
      </w:r>
      <w:r>
        <w:rPr>
          <w:spacing w:val="-7"/>
          <w:sz w:val="18"/>
        </w:rPr>
        <w:t> </w:t>
      </w:r>
      <w:r>
        <w:rPr>
          <w:sz w:val="18"/>
        </w:rPr>
        <w:t>autopsy,</w:t>
      </w:r>
      <w:r>
        <w:rPr>
          <w:spacing w:val="-8"/>
          <w:sz w:val="18"/>
        </w:rPr>
        <w:t> </w:t>
      </w:r>
      <w:r>
        <w:rPr>
          <w:sz w:val="18"/>
        </w:rPr>
        <w:t>fatty</w:t>
      </w:r>
      <w:r>
        <w:rPr>
          <w:spacing w:val="-8"/>
          <w:sz w:val="18"/>
        </w:rPr>
        <w:t> </w:t>
      </w:r>
      <w:r>
        <w:rPr>
          <w:sz w:val="18"/>
        </w:rPr>
        <w:t>degeneration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ﬁbrosis </w:t>
      </w:r>
      <w:r>
        <w:rPr>
          <w:spacing w:val="-4"/>
          <w:sz w:val="18"/>
        </w:rPr>
        <w:t>were observed in the liver. Neuropathological examination revealed white matter-predominant spongy changes with Alzheimer type</w:t>
      </w:r>
      <w:r>
        <w:rPr>
          <w:spacing w:val="-2"/>
          <w:sz w:val="18"/>
        </w:rPr>
        <w:t> II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glia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loss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myelin.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Enzyme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activities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respiratory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chain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complex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III,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IV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relative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citrate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synthase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muscle were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normal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biopsied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muscle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tissue,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but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they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were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reduced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liver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0%,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10%,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and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14%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normal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values,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respectively.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In the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liver,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the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copy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number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mitochondrial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DNA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compared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nuclear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DNA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was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reduced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to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3.3%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of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normal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values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as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evaluated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by quantitative polymerase chain reaction. Genetic analysis revealed compound heterozygous mutations for </w:t>
      </w:r>
      <w:r>
        <w:rPr>
          <w:rFonts w:ascii="Times New Roman" w:hAnsi="Times New Roman"/>
          <w:i/>
          <w:spacing w:val="-2"/>
          <w:sz w:val="18"/>
        </w:rPr>
        <w:t>POLG </w:t>
      </w:r>
      <w:r>
        <w:rPr>
          <w:spacing w:val="-2"/>
          <w:sz w:val="18"/>
        </w:rPr>
        <w:t>(I1185T/A957V). </w:t>
      </w:r>
      <w:r>
        <w:rPr>
          <w:spacing w:val="-4"/>
          <w:sz w:val="18"/>
        </w:rPr>
        <w:t>This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case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represents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the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diﬀerential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involvement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multiple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organs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and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phenotype-speciﬁc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distribution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of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brain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lesions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in</w:t>
      </w:r>
      <w:r>
        <w:rPr>
          <w:spacing w:val="-7"/>
          <w:sz w:val="18"/>
        </w:rPr>
        <w:t> </w:t>
      </w:r>
      <w:r>
        <w:rPr>
          <w:spacing w:val="-4"/>
          <w:sz w:val="18"/>
        </w:rPr>
        <w:t>mitochon-</w:t>
      </w:r>
      <w:r>
        <w:rPr>
          <w:sz w:val="18"/>
        </w:rPr>
        <w:t> drial DNA depletion disorders.</w:t>
      </w:r>
    </w:p>
    <w:p>
      <w:pPr>
        <w:spacing w:line="201" w:lineRule="exact" w:before="0"/>
        <w:ind w:left="142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w w:val="105"/>
          <w:sz w:val="18"/>
        </w:rPr>
        <w:t>©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2014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The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Japanese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Society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of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Child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Neurology.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Published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by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Elsevier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B.V.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All</w:t>
      </w:r>
      <w:r>
        <w:rPr>
          <w:rFonts w:ascii="Times New Roman" w:hAnsi="Times New Roman"/>
          <w:spacing w:val="9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rights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spacing w:val="-2"/>
          <w:w w:val="105"/>
          <w:sz w:val="18"/>
        </w:rPr>
        <w:t>reserved.</w:t>
      </w: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spacing w:before="41"/>
        <w:rPr>
          <w:rFonts w:ascii="Times New Roman"/>
          <w:sz w:val="18"/>
        </w:rPr>
      </w:pPr>
    </w:p>
    <w:p>
      <w:pPr>
        <w:spacing w:before="1"/>
        <w:ind w:left="142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Keywords:</w:t>
      </w:r>
      <w:r>
        <w:rPr>
          <w:rFonts w:ascii="Times New Roman"/>
          <w:i/>
          <w:spacing w:val="25"/>
          <w:sz w:val="16"/>
        </w:rPr>
        <w:t> </w:t>
      </w:r>
      <w:r>
        <w:rPr>
          <w:spacing w:val="-2"/>
          <w:sz w:val="16"/>
        </w:rPr>
        <w:t>Alpers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syndrome;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Mitochondrial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DNA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depletion;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Myocerebrohepatopathy</w:t>
      </w:r>
      <w:r>
        <w:rPr>
          <w:spacing w:val="4"/>
          <w:sz w:val="16"/>
        </w:rPr>
        <w:t> </w:t>
      </w:r>
      <w:r>
        <w:rPr>
          <w:spacing w:val="-2"/>
          <w:sz w:val="16"/>
        </w:rPr>
        <w:t>spectrum</w:t>
      </w:r>
      <w:r>
        <w:rPr>
          <w:spacing w:val="5"/>
          <w:sz w:val="16"/>
        </w:rPr>
        <w:t> </w:t>
      </w:r>
      <w:r>
        <w:rPr>
          <w:spacing w:val="-2"/>
          <w:sz w:val="16"/>
        </w:rPr>
        <w:t>disorder;</w:t>
      </w:r>
      <w:r>
        <w:rPr>
          <w:spacing w:val="5"/>
          <w:sz w:val="16"/>
        </w:rPr>
        <w:t> </w:t>
      </w:r>
      <w:r>
        <w:rPr>
          <w:rFonts w:ascii="Times New Roman"/>
          <w:i/>
          <w:spacing w:val="-4"/>
          <w:sz w:val="16"/>
        </w:rPr>
        <w:t>POLG</w:t>
      </w:r>
    </w:p>
    <w:p>
      <w:pPr>
        <w:pStyle w:val="BodyText"/>
        <w:spacing w:before="1"/>
        <w:rPr>
          <w:rFonts w:ascii="Times New Roman"/>
          <w:i/>
          <w:sz w:val="15"/>
        </w:rPr>
      </w:pPr>
      <w:r>
        <w:rPr>
          <w:rFonts w:ascii="Times New Roman"/>
          <w:i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540004</wp:posOffset>
                </wp:positionH>
                <wp:positionV relativeFrom="paragraph">
                  <wp:posOffset>126020</wp:posOffset>
                </wp:positionV>
                <wp:extent cx="6377305" cy="698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3773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7305" h="6985">
                              <a:moveTo>
                                <a:pt x="637703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377038" y="6480"/>
                              </a:lnTo>
                              <a:lnTo>
                                <a:pt x="63770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922843pt;width:502.129pt;height:.51024pt;mso-position-horizontal-relative:page;mso-position-vertical-relative:paragraph;z-index:-15727616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115"/>
        <w:rPr>
          <w:rFonts w:ascii="Times New Roman"/>
          <w:i/>
        </w:rPr>
      </w:pPr>
      <w:r>
        <w:rPr>
          <w:rFonts w:ascii="Times New Roman"/>
          <w:i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540004</wp:posOffset>
                </wp:positionH>
                <wp:positionV relativeFrom="paragraph">
                  <wp:posOffset>234835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647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8.490976pt;width:35.9pt;height:.1pt;mso-position-horizontal-relative:page;mso-position-vertical-relative:paragraph;z-index:-15727104;mso-wrap-distance-left:0;mso-wrap-distance-right:0" id="docshape13" coordorigin="850,370" coordsize="718,0" path="m850,370l1568,370e" filled="false" stroked="true" strokeweight=".5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9" w:lineRule="auto" w:before="0"/>
        <w:ind w:left="142" w:right="54" w:firstLine="85"/>
        <w:jc w:val="left"/>
        <w:rPr>
          <w:sz w:val="16"/>
        </w:rPr>
      </w:pPr>
      <w:bookmarkStart w:name="_bookmark10" w:id="12"/>
      <w:bookmarkEnd w:id="12"/>
      <w:r>
        <w:rPr/>
      </w:r>
      <w:r>
        <w:rPr>
          <w:rFonts w:ascii="Apple SD Gothic Neo Light" w:hAnsi="Apple SD Gothic Neo Light"/>
          <w:position w:val="5"/>
          <w:sz w:val="14"/>
        </w:rPr>
        <w:t>⇑</w:t>
      </w:r>
      <w:r>
        <w:rPr>
          <w:rFonts w:ascii="Apple SD Gothic Neo Light" w:hAnsi="Apple SD Gothic Neo Light"/>
          <w:spacing w:val="11"/>
          <w:position w:val="5"/>
          <w:sz w:val="14"/>
        </w:rPr>
        <w:t> </w:t>
      </w:r>
      <w:r>
        <w:rPr>
          <w:sz w:val="16"/>
        </w:rPr>
        <w:t>Corresponding</w:t>
      </w:r>
      <w:r>
        <w:rPr>
          <w:spacing w:val="5"/>
          <w:sz w:val="16"/>
        </w:rPr>
        <w:t> </w:t>
      </w:r>
      <w:r>
        <w:rPr>
          <w:sz w:val="16"/>
        </w:rPr>
        <w:t>author</w:t>
      </w:r>
      <w:r>
        <w:rPr>
          <w:spacing w:val="5"/>
          <w:sz w:val="16"/>
        </w:rPr>
        <w:t> </w:t>
      </w:r>
      <w:r>
        <w:rPr>
          <w:sz w:val="16"/>
        </w:rPr>
        <w:t>at:</w:t>
      </w:r>
      <w:r>
        <w:rPr>
          <w:spacing w:val="6"/>
          <w:sz w:val="16"/>
        </w:rPr>
        <w:t> </w:t>
      </w:r>
      <w:r>
        <w:rPr>
          <w:sz w:val="16"/>
        </w:rPr>
        <w:t>Division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Child</w:t>
      </w:r>
      <w:r>
        <w:rPr>
          <w:spacing w:val="6"/>
          <w:sz w:val="16"/>
        </w:rPr>
        <w:t> </w:t>
      </w:r>
      <w:r>
        <w:rPr>
          <w:sz w:val="16"/>
        </w:rPr>
        <w:t>Neurology,</w:t>
      </w:r>
      <w:r>
        <w:rPr>
          <w:spacing w:val="6"/>
          <w:sz w:val="16"/>
        </w:rPr>
        <w:t> </w:t>
      </w:r>
      <w:r>
        <w:rPr>
          <w:sz w:val="16"/>
        </w:rPr>
        <w:t>Faculty</w:t>
      </w:r>
      <w:r>
        <w:rPr>
          <w:spacing w:val="5"/>
          <w:sz w:val="16"/>
        </w:rPr>
        <w:t> </w:t>
      </w:r>
      <w:r>
        <w:rPr>
          <w:sz w:val="16"/>
        </w:rPr>
        <w:t>of</w:t>
      </w:r>
      <w:r>
        <w:rPr>
          <w:spacing w:val="5"/>
          <w:sz w:val="16"/>
        </w:rPr>
        <w:t> </w:t>
      </w:r>
      <w:r>
        <w:rPr>
          <w:sz w:val="16"/>
        </w:rPr>
        <w:t>Medicine,</w:t>
      </w:r>
      <w:r>
        <w:rPr>
          <w:spacing w:val="6"/>
          <w:sz w:val="16"/>
        </w:rPr>
        <w:t> </w:t>
      </w:r>
      <w:r>
        <w:rPr>
          <w:sz w:val="16"/>
        </w:rPr>
        <w:t>Tottori</w:t>
      </w:r>
      <w:r>
        <w:rPr>
          <w:spacing w:val="5"/>
          <w:sz w:val="16"/>
        </w:rPr>
        <w:t> </w:t>
      </w:r>
      <w:r>
        <w:rPr>
          <w:sz w:val="16"/>
        </w:rPr>
        <w:t>University,</w:t>
      </w:r>
      <w:r>
        <w:rPr>
          <w:spacing w:val="5"/>
          <w:sz w:val="16"/>
        </w:rPr>
        <w:t> </w:t>
      </w:r>
      <w:r>
        <w:rPr>
          <w:sz w:val="16"/>
        </w:rPr>
        <w:t>36-1</w:t>
      </w:r>
      <w:r>
        <w:rPr>
          <w:spacing w:val="5"/>
          <w:sz w:val="16"/>
        </w:rPr>
        <w:t> </w:t>
      </w:r>
      <w:r>
        <w:rPr>
          <w:sz w:val="16"/>
        </w:rPr>
        <w:t>Nishi-Cho,</w:t>
      </w:r>
      <w:r>
        <w:rPr>
          <w:spacing w:val="6"/>
          <w:sz w:val="16"/>
        </w:rPr>
        <w:t> </w:t>
      </w:r>
      <w:r>
        <w:rPr>
          <w:sz w:val="16"/>
        </w:rPr>
        <w:t>Yonago</w:t>
      </w:r>
      <w:r>
        <w:rPr>
          <w:spacing w:val="4"/>
          <w:sz w:val="16"/>
        </w:rPr>
        <w:t> </w:t>
      </w:r>
      <w:r>
        <w:rPr>
          <w:sz w:val="16"/>
        </w:rPr>
        <w:t>683-8504,</w:t>
      </w:r>
      <w:r>
        <w:rPr>
          <w:spacing w:val="4"/>
          <w:sz w:val="16"/>
        </w:rPr>
        <w:t> </w:t>
      </w:r>
      <w:r>
        <w:rPr>
          <w:sz w:val="16"/>
        </w:rPr>
        <w:t>Japan.</w:t>
      </w:r>
      <w:r>
        <w:rPr>
          <w:spacing w:val="40"/>
          <w:sz w:val="16"/>
        </w:rPr>
        <w:t> </w:t>
      </w:r>
      <w:r>
        <w:rPr>
          <w:sz w:val="16"/>
        </w:rPr>
        <w:t>Tel.: +81 859 38 6777; fax: +81 859 38 6779.</w:t>
      </w:r>
    </w:p>
    <w:p>
      <w:pPr>
        <w:spacing w:line="181" w:lineRule="exact" w:before="0"/>
        <w:ind w:left="378" w:right="0" w:firstLine="0"/>
        <w:jc w:val="left"/>
        <w:rPr>
          <w:sz w:val="16"/>
        </w:rPr>
      </w:pPr>
      <w:r>
        <w:rPr>
          <w:rFonts w:ascii="Times New Roman"/>
          <w:i/>
          <w:spacing w:val="-2"/>
          <w:sz w:val="16"/>
        </w:rPr>
        <w:t>E-mail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pacing w:val="-2"/>
          <w:sz w:val="16"/>
        </w:rPr>
        <w:t>address:</w:t>
      </w:r>
      <w:r>
        <w:rPr>
          <w:rFonts w:ascii="Times New Roman"/>
          <w:i/>
          <w:spacing w:val="15"/>
          <w:sz w:val="16"/>
        </w:rPr>
        <w:t> </w:t>
      </w:r>
      <w:hyperlink r:id="rId13">
        <w:r>
          <w:rPr>
            <w:color w:val="007FAD"/>
            <w:spacing w:val="-2"/>
            <w:sz w:val="16"/>
          </w:rPr>
          <w:t>maegaki@med.tottori-u.ac.jp</w:t>
        </w:r>
      </w:hyperlink>
      <w:r>
        <w:rPr>
          <w:color w:val="007FAD"/>
          <w:spacing w:val="17"/>
          <w:sz w:val="16"/>
        </w:rPr>
        <w:t> </w:t>
      </w:r>
      <w:r>
        <w:rPr>
          <w:spacing w:val="-2"/>
          <w:sz w:val="16"/>
        </w:rPr>
        <w:t>(Y.</w:t>
      </w:r>
      <w:r>
        <w:rPr>
          <w:spacing w:val="17"/>
          <w:sz w:val="16"/>
        </w:rPr>
        <w:t> </w:t>
      </w:r>
      <w:r>
        <w:rPr>
          <w:spacing w:val="-2"/>
          <w:sz w:val="16"/>
        </w:rPr>
        <w:t>Maegaki).</w:t>
      </w:r>
    </w:p>
    <w:p>
      <w:pPr>
        <w:pStyle w:val="BodyText"/>
        <w:spacing w:before="60"/>
        <w:rPr>
          <w:sz w:val="16"/>
        </w:rPr>
      </w:pPr>
    </w:p>
    <w:p>
      <w:pPr>
        <w:spacing w:before="0"/>
        <w:ind w:left="142" w:right="0" w:firstLine="0"/>
        <w:jc w:val="left"/>
        <w:rPr>
          <w:rFonts w:ascii="Times New Roman"/>
          <w:sz w:val="16"/>
        </w:rPr>
      </w:pPr>
      <w:hyperlink r:id="rId9">
        <w:r>
          <w:rPr>
            <w:rFonts w:ascii="Times New Roman"/>
            <w:color w:val="007FAD"/>
            <w:spacing w:val="-2"/>
            <w:w w:val="105"/>
            <w:sz w:val="16"/>
          </w:rPr>
          <w:t>http://dx.doi.org/10.1016/j.braindev.2014.10.013</w:t>
        </w:r>
      </w:hyperlink>
    </w:p>
    <w:p>
      <w:pPr>
        <w:spacing w:before="15"/>
        <w:ind w:left="142" w:right="0" w:firstLine="0"/>
        <w:jc w:val="left"/>
        <w:rPr>
          <w:rFonts w:ascii="Times New Roman" w:hAnsi="Times New Roman"/>
          <w:sz w:val="16"/>
        </w:rPr>
      </w:pPr>
      <w:r>
        <w:rPr>
          <w:rFonts w:ascii="Times New Roman" w:hAnsi="Times New Roman"/>
          <w:w w:val="105"/>
          <w:sz w:val="16"/>
        </w:rPr>
        <w:t>0387-7604/©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2014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The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Japanese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Society</w:t>
      </w:r>
      <w:r>
        <w:rPr>
          <w:rFonts w:ascii="Times New Roman" w:hAnsi="Times New Roman"/>
          <w:spacing w:val="1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of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Child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Neurology.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Published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by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Elsevier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B.V.</w:t>
      </w:r>
      <w:r>
        <w:rPr>
          <w:rFonts w:ascii="Times New Roman" w:hAnsi="Times New Roman"/>
          <w:spacing w:val="2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All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rights</w:t>
      </w:r>
      <w:r>
        <w:rPr>
          <w:rFonts w:ascii="Times New Roman" w:hAnsi="Times New Roman"/>
          <w:spacing w:val="3"/>
          <w:w w:val="105"/>
          <w:sz w:val="16"/>
        </w:rPr>
        <w:t> </w:t>
      </w:r>
      <w:r>
        <w:rPr>
          <w:rFonts w:ascii="Times New Roman" w:hAnsi="Times New Roman"/>
          <w:spacing w:val="-2"/>
          <w:w w:val="105"/>
          <w:sz w:val="16"/>
        </w:rPr>
        <w:t>reserved.</w:t>
      </w:r>
    </w:p>
    <w:p>
      <w:pPr>
        <w:spacing w:after="0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0" w:footer="0" w:top="360" w:bottom="280" w:left="708" w:right="708"/>
        </w:sectPr>
      </w:pP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pStyle w:val="BodyText"/>
        <w:spacing w:after="0"/>
        <w:rPr>
          <w:rFonts w:ascii="Times New Roman"/>
          <w:sz w:val="14"/>
        </w:rPr>
        <w:sectPr>
          <w:headerReference w:type="even" r:id="rId14"/>
          <w:headerReference w:type="default" r:id="rId15"/>
          <w:pgSz w:w="11910" w:h="15880"/>
          <w:pgMar w:header="912" w:footer="0" w:top="1100" w:bottom="280" w:left="708" w:right="708"/>
          <w:pgNumType w:start="720"/>
        </w:sectPr>
      </w:pPr>
    </w:p>
    <w:p>
      <w:pPr>
        <w:pStyle w:val="ListParagraph"/>
        <w:numPr>
          <w:ilvl w:val="0"/>
          <w:numId w:val="1"/>
        </w:numPr>
        <w:tabs>
          <w:tab w:pos="525" w:val="left" w:leader="none"/>
        </w:tabs>
        <w:spacing w:line="240" w:lineRule="auto" w:before="69" w:after="0"/>
        <w:ind w:left="525" w:right="0" w:hanging="219"/>
        <w:jc w:val="left"/>
        <w:rPr>
          <w:rFonts w:ascii="Times New Roman"/>
          <w:sz w:val="20"/>
        </w:rPr>
      </w:pPr>
      <w:bookmarkStart w:name="1 Introduction" w:id="13"/>
      <w:bookmarkEnd w:id="13"/>
      <w:r>
        <w:rPr/>
      </w:r>
      <w:r>
        <w:rPr>
          <w:rFonts w:ascii="Times New Roman"/>
          <w:spacing w:val="-2"/>
          <w:w w:val="105"/>
          <w:sz w:val="20"/>
        </w:rPr>
        <w:t>Introduction</w:t>
      </w:r>
    </w:p>
    <w:p>
      <w:pPr>
        <w:pStyle w:val="BodyText"/>
        <w:spacing w:before="22"/>
        <w:rPr>
          <w:rFonts w:ascii="Times New Roman"/>
        </w:rPr>
      </w:pPr>
    </w:p>
    <w:p>
      <w:pPr>
        <w:pStyle w:val="BodyText"/>
        <w:spacing w:line="252" w:lineRule="auto"/>
        <w:ind w:left="304" w:right="38" w:firstLine="241"/>
        <w:jc w:val="both"/>
      </w:pPr>
      <w:r>
        <w:rPr/>
        <w:t>Mitochondrial DNA (mtDNA) depletion </w:t>
      </w:r>
      <w:r>
        <w:rPr/>
        <w:t>syndrome (MDDS), ﬁrst described in 1991, is deﬁned as a reduc- tion in the mtDNA copy number in diﬀerent tissues, leading to insuﬃcient synthesis of respiratory chain complexes</w:t>
      </w:r>
      <w:r>
        <w:rPr>
          <w:spacing w:val="-10"/>
        </w:rPr>
        <w:t> </w:t>
      </w:r>
      <w:r>
        <w:rPr/>
        <w:t>(RCC)</w:t>
      </w:r>
      <w:r>
        <w:rPr>
          <w:spacing w:val="-10"/>
        </w:rPr>
        <w:t> </w:t>
      </w:r>
      <w:hyperlink w:history="true" w:anchor="_bookmark14">
        <w:r>
          <w:rPr>
            <w:color w:val="007FAD"/>
          </w:rPr>
          <w:t>[1]</w:t>
        </w:r>
      </w:hyperlink>
      <w:r>
        <w:rPr/>
        <w:t>.</w:t>
      </w:r>
      <w:r>
        <w:rPr>
          <w:spacing w:val="-11"/>
        </w:rPr>
        <w:t> </w:t>
      </w:r>
      <w:r>
        <w:rPr/>
        <w:t>Clinical</w:t>
      </w:r>
      <w:r>
        <w:rPr>
          <w:spacing w:val="-10"/>
        </w:rPr>
        <w:t> </w:t>
      </w:r>
      <w:r>
        <w:rPr/>
        <w:t>manifestations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MDDS involve many organ systems including the central and peripheral</w:t>
      </w:r>
      <w:r>
        <w:rPr>
          <w:spacing w:val="-13"/>
        </w:rPr>
        <w:t> </w:t>
      </w:r>
      <w:r>
        <w:rPr/>
        <w:t>nervous</w:t>
      </w:r>
      <w:r>
        <w:rPr>
          <w:spacing w:val="-12"/>
        </w:rPr>
        <w:t> </w:t>
      </w:r>
      <w:r>
        <w:rPr/>
        <w:t>system,</w:t>
      </w:r>
      <w:r>
        <w:rPr>
          <w:spacing w:val="-12"/>
        </w:rPr>
        <w:t> </w:t>
      </w:r>
      <w:r>
        <w:rPr/>
        <w:t>liver,</w:t>
      </w:r>
      <w:r>
        <w:rPr>
          <w:spacing w:val="-12"/>
        </w:rPr>
        <w:t> </w:t>
      </w:r>
      <w:r>
        <w:rPr/>
        <w:t>muscle,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gastroin- testinal tract </w:t>
      </w:r>
      <w:hyperlink w:history="true" w:anchor="_bookmark15">
        <w:r>
          <w:rPr>
            <w:color w:val="007FAD"/>
          </w:rPr>
          <w:t>[2]</w:t>
        </w:r>
      </w:hyperlink>
      <w:r>
        <w:rPr/>
        <w:t>. Human polymerase gamma (</w:t>
      </w:r>
      <w:r>
        <w:rPr>
          <w:rFonts w:ascii="Times New Roman" w:hAnsi="Times New Roman"/>
          <w:i/>
        </w:rPr>
        <w:t>POLG</w:t>
      </w:r>
      <w:r>
        <w:rPr/>
        <w:t>) is the common causative gene involved in MDDS, whose mutations result in a diverse group of pheno- types,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Alpers</w:t>
      </w:r>
      <w:r>
        <w:rPr>
          <w:spacing w:val="-11"/>
        </w:rPr>
        <w:t> </w:t>
      </w:r>
      <w:r>
        <w:rPr/>
        <w:t>syndrome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myocerebrohepat- opathy spectrum (MCHS) disorders, which typically show disease onset during early childhood. Further, several </w:t>
      </w:r>
      <w:r>
        <w:rPr>
          <w:rFonts w:ascii="Times New Roman" w:hAnsi="Times New Roman"/>
          <w:i/>
        </w:rPr>
        <w:t>POLG</w:t>
      </w:r>
      <w:r>
        <w:rPr/>
        <w:t>-related phenotypes manifesting during </w:t>
      </w:r>
      <w:bookmarkStart w:name="2 Case report" w:id="14"/>
      <w:bookmarkEnd w:id="14"/>
      <w:r>
        <w:rPr/>
        <w:t>ad</w:t>
      </w:r>
      <w:r>
        <w:rPr/>
        <w:t>olescence and adulthood are recognized, including </w:t>
      </w:r>
      <w:r>
        <w:rPr>
          <w:spacing w:val="-6"/>
        </w:rPr>
        <w:t>progressive external ophthalmoplegia, ataxia-neuropathy </w:t>
      </w:r>
      <w:r>
        <w:rPr/>
        <w:t>spectrum disorders, myoclonus epilepsy myopathy sensory ataxia, and sensory ataxic neuropathy with </w:t>
      </w:r>
      <w:r>
        <w:rPr>
          <w:spacing w:val="-10"/>
        </w:rPr>
        <w:t>dysarthria/dysphagia</w:t>
      </w:r>
      <w:r>
        <w:rPr/>
        <w:t> </w:t>
      </w:r>
      <w:r>
        <w:rPr>
          <w:spacing w:val="-10"/>
        </w:rPr>
        <w:t>and</w:t>
      </w:r>
      <w:r>
        <w:rPr/>
        <w:t> </w:t>
      </w:r>
      <w:r>
        <w:rPr>
          <w:spacing w:val="-10"/>
        </w:rPr>
        <w:t>ophthalmoplegia.</w:t>
      </w:r>
      <w:r>
        <w:rPr/>
        <w:t> </w:t>
      </w:r>
      <w:r>
        <w:rPr>
          <w:spacing w:val="-10"/>
        </w:rPr>
        <w:t>Some</w:t>
      </w:r>
      <w:r>
        <w:rPr/>
        <w:t> </w:t>
      </w:r>
      <w:r>
        <w:rPr>
          <w:spacing w:val="-10"/>
        </w:rPr>
        <w:t>overlaps</w:t>
      </w:r>
      <w:r>
        <w:rPr/>
        <w:t> in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symptoms</w:t>
      </w:r>
      <w:r>
        <w:rPr>
          <w:spacing w:val="-12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adult</w:t>
      </w:r>
      <w:r>
        <w:rPr>
          <w:spacing w:val="-12"/>
        </w:rPr>
        <w:t> </w:t>
      </w:r>
      <w:r>
        <w:rPr/>
        <w:t>phenotypes</w:t>
      </w:r>
      <w:r>
        <w:rPr>
          <w:spacing w:val="-12"/>
        </w:rPr>
        <w:t> </w:t>
      </w:r>
      <w:r>
        <w:rPr/>
        <w:t>exist, </w:t>
      </w:r>
      <w:r>
        <w:rPr>
          <w:spacing w:val="-4"/>
        </w:rPr>
        <w:t>and can be additionally accompanied by tremor, parkin- </w:t>
      </w:r>
      <w:r>
        <w:rPr>
          <w:spacing w:val="-2"/>
        </w:rPr>
        <w:t>sonism,</w:t>
      </w:r>
      <w:r>
        <w:rPr>
          <w:spacing w:val="-11"/>
        </w:rPr>
        <w:t> </w:t>
      </w:r>
      <w:r>
        <w:rPr>
          <w:spacing w:val="-2"/>
        </w:rPr>
        <w:t>hearing</w:t>
      </w:r>
      <w:r>
        <w:rPr>
          <w:spacing w:val="-10"/>
        </w:rPr>
        <w:t> </w:t>
      </w:r>
      <w:r>
        <w:rPr>
          <w:spacing w:val="-2"/>
        </w:rPr>
        <w:t>loss,</w:t>
      </w:r>
      <w:r>
        <w:rPr>
          <w:spacing w:val="-10"/>
        </w:rPr>
        <w:t> </w:t>
      </w:r>
      <w:r>
        <w:rPr>
          <w:spacing w:val="-2"/>
        </w:rPr>
        <w:t>stroke-like</w:t>
      </w:r>
      <w:r>
        <w:rPr>
          <w:spacing w:val="-10"/>
        </w:rPr>
        <w:t> </w:t>
      </w:r>
      <w:r>
        <w:rPr>
          <w:spacing w:val="-2"/>
        </w:rPr>
        <w:t>episodes,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gastroin- testinal</w:t>
      </w:r>
      <w:r>
        <w:rPr>
          <w:spacing w:val="-4"/>
        </w:rPr>
        <w:t> </w:t>
      </w:r>
      <w:r>
        <w:rPr>
          <w:spacing w:val="-2"/>
        </w:rPr>
        <w:t>symptoms,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reminiscent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symptoms </w:t>
      </w:r>
      <w:bookmarkStart w:name="2.1 Postmortem examinations" w:id="15"/>
      <w:bookmarkEnd w:id="15"/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mitochondrial</w:t>
      </w:r>
      <w:r>
        <w:rPr>
          <w:spacing w:val="-8"/>
        </w:rPr>
        <w:t> </w:t>
      </w:r>
      <w:r>
        <w:rPr>
          <w:spacing w:val="-2"/>
        </w:rPr>
        <w:t>diseases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pathomechanisms</w:t>
      </w:r>
      <w:r>
        <w:rPr>
          <w:spacing w:val="-8"/>
        </w:rPr>
        <w:t> </w:t>
      </w:r>
      <w:r>
        <w:rPr>
          <w:spacing w:val="-2"/>
        </w:rPr>
        <w:t>other </w:t>
      </w:r>
      <w:r>
        <w:rPr/>
        <w:t>than MDDS </w:t>
      </w:r>
      <w:hyperlink w:history="true" w:anchor="_bookmark26">
        <w:r>
          <w:rPr>
            <w:color w:val="007FAD"/>
          </w:rPr>
          <w:t>[3,4]</w:t>
        </w:r>
      </w:hyperlink>
      <w:r>
        <w:rPr/>
        <w:t>.</w:t>
      </w:r>
    </w:p>
    <w:p>
      <w:pPr>
        <w:pStyle w:val="BodyText"/>
        <w:spacing w:line="252" w:lineRule="auto" w:before="5"/>
        <w:ind w:left="304" w:right="38" w:firstLine="241"/>
        <w:jc w:val="both"/>
      </w:pPr>
      <w:r>
        <w:rPr/>
        <w:t>MCHS, the most severe phenotype of POLG </w:t>
      </w:r>
      <w:r>
        <w:rPr/>
        <w:t>disor- </w:t>
      </w:r>
      <w:r>
        <w:rPr>
          <w:spacing w:val="-4"/>
        </w:rPr>
        <w:t>ders,</w:t>
      </w:r>
      <w:r>
        <w:rPr>
          <w:spacing w:val="-9"/>
        </w:rPr>
        <w:t> </w:t>
      </w:r>
      <w:r>
        <w:rPr>
          <w:spacing w:val="-4"/>
        </w:rPr>
        <w:t>was</w:t>
      </w:r>
      <w:r>
        <w:rPr>
          <w:spacing w:val="-8"/>
        </w:rPr>
        <w:t> </w:t>
      </w:r>
      <w:r>
        <w:rPr>
          <w:spacing w:val="-4"/>
        </w:rPr>
        <w:t>recently</w:t>
      </w:r>
      <w:r>
        <w:rPr>
          <w:spacing w:val="-8"/>
        </w:rPr>
        <w:t> </w:t>
      </w:r>
      <w:r>
        <w:rPr>
          <w:spacing w:val="-4"/>
        </w:rPr>
        <w:t>identiﬁed</w:t>
      </w:r>
      <w:r>
        <w:rPr>
          <w:spacing w:val="-8"/>
        </w:rPr>
        <w:t> </w:t>
      </w:r>
      <w:r>
        <w:rPr>
          <w:spacing w:val="-4"/>
        </w:rPr>
        <w:t>and</w:t>
      </w:r>
      <w:r>
        <w:rPr>
          <w:spacing w:val="-8"/>
        </w:rPr>
        <w:t> </w:t>
      </w:r>
      <w:r>
        <w:rPr>
          <w:spacing w:val="-4"/>
        </w:rPr>
        <w:t>is</w:t>
      </w:r>
      <w:r>
        <w:rPr>
          <w:spacing w:val="-8"/>
        </w:rPr>
        <w:t> </w:t>
      </w:r>
      <w:r>
        <w:rPr>
          <w:spacing w:val="-4"/>
        </w:rPr>
        <w:t>deﬁned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clinical </w:t>
      </w:r>
      <w:r>
        <w:rPr/>
        <w:t>triad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(1)</w:t>
      </w:r>
      <w:r>
        <w:rPr>
          <w:spacing w:val="-2"/>
        </w:rPr>
        <w:t> </w:t>
      </w:r>
      <w:r>
        <w:rPr/>
        <w:t>myopathy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hypotonia,</w:t>
      </w:r>
      <w:r>
        <w:rPr>
          <w:spacing w:val="-1"/>
        </w:rPr>
        <w:t> </w:t>
      </w:r>
      <w:r>
        <w:rPr/>
        <w:t>(2)</w:t>
      </w:r>
      <w:r>
        <w:rPr>
          <w:spacing w:val="-1"/>
        </w:rPr>
        <w:t> </w:t>
      </w:r>
      <w:r>
        <w:rPr/>
        <w:t>developmental delay or dementia, and (3) liver dysfunction </w:t>
      </w:r>
      <w:hyperlink w:history="true" w:anchor="_bookmark26">
        <w:r>
          <w:rPr>
            <w:color w:val="007FAD"/>
          </w:rPr>
          <w:t>[3,5]</w:t>
        </w:r>
      </w:hyperlink>
      <w:r>
        <w:rPr/>
        <w:t>. </w:t>
      </w:r>
      <w:r>
        <w:rPr>
          <w:spacing w:val="-2"/>
        </w:rPr>
        <w:t>Severe,</w:t>
      </w:r>
      <w:r>
        <w:rPr>
          <w:spacing w:val="-11"/>
        </w:rPr>
        <w:t> </w:t>
      </w:r>
      <w:r>
        <w:rPr>
          <w:spacing w:val="-2"/>
        </w:rPr>
        <w:t>intractable</w:t>
      </w:r>
      <w:r>
        <w:rPr>
          <w:spacing w:val="-10"/>
        </w:rPr>
        <w:t> </w:t>
      </w:r>
      <w:r>
        <w:rPr>
          <w:spacing w:val="-2"/>
        </w:rPr>
        <w:t>epilepsy</w:t>
      </w:r>
      <w:r>
        <w:rPr>
          <w:spacing w:val="-10"/>
        </w:rPr>
        <w:t> </w:t>
      </w:r>
      <w:r>
        <w:rPr>
          <w:spacing w:val="-2"/>
        </w:rPr>
        <w:t>is</w:t>
      </w:r>
      <w:r>
        <w:rPr>
          <w:spacing w:val="-10"/>
        </w:rPr>
        <w:t> </w:t>
      </w:r>
      <w:r>
        <w:rPr>
          <w:spacing w:val="-2"/>
        </w:rPr>
        <w:t>included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diagnostic </w:t>
      </w:r>
      <w:r>
        <w:rPr/>
        <w:t>hallmarks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Alpers</w:t>
      </w:r>
      <w:r>
        <w:rPr>
          <w:spacing w:val="-11"/>
        </w:rPr>
        <w:t> </w:t>
      </w:r>
      <w:r>
        <w:rPr/>
        <w:t>syndrome,</w:t>
      </w:r>
      <w:r>
        <w:rPr>
          <w:spacing w:val="-12"/>
        </w:rPr>
        <w:t> </w:t>
      </w:r>
      <w:r>
        <w:rPr/>
        <w:t>but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not</w:t>
      </w:r>
      <w:r>
        <w:rPr>
          <w:spacing w:val="-12"/>
        </w:rPr>
        <w:t> </w:t>
      </w:r>
      <w:r>
        <w:rPr/>
        <w:t>characteristic of MCHS. As the number of patients with MCHS disorders is small and detailed clinicopathological ﬁndings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unavailable,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herein</w:t>
      </w:r>
      <w:r>
        <w:rPr>
          <w:spacing w:val="-6"/>
        </w:rPr>
        <w:t> </w:t>
      </w:r>
      <w:r>
        <w:rPr/>
        <w:t>report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 girl with MCHS disorders due to </w:t>
      </w:r>
      <w:r>
        <w:rPr>
          <w:rFonts w:ascii="Times New Roman" w:hAnsi="Times New Roman"/>
          <w:i/>
        </w:rPr>
        <w:t>POLG </w:t>
      </w:r>
      <w:r>
        <w:rPr/>
        <w:t>mutations. As far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know,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ﬁrst</w:t>
      </w:r>
      <w:r>
        <w:rPr>
          <w:spacing w:val="-6"/>
        </w:rPr>
        <w:t> </w:t>
      </w:r>
      <w:r>
        <w:rPr/>
        <w:t>Japanese</w:t>
      </w:r>
      <w:r>
        <w:rPr>
          <w:spacing w:val="-7"/>
        </w:rPr>
        <w:t> </w:t>
      </w:r>
      <w:r>
        <w:rPr/>
        <w:t>case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MCHS disorders with </w:t>
      </w:r>
      <w:r>
        <w:rPr>
          <w:rFonts w:ascii="Times New Roman" w:hAnsi="Times New Roman"/>
          <w:i/>
        </w:rPr>
        <w:t>POLG </w:t>
      </w:r>
      <w:r>
        <w:rPr/>
        <w:t>mutation.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"/>
        </w:numPr>
        <w:tabs>
          <w:tab w:pos="525" w:val="left" w:leader="none"/>
        </w:tabs>
        <w:spacing w:line="240" w:lineRule="auto" w:before="1" w:after="0"/>
        <w:ind w:left="525" w:right="0" w:hanging="219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Case</w:t>
      </w:r>
      <w:r>
        <w:rPr>
          <w:rFonts w:ascii="Times New Roman"/>
          <w:spacing w:val="11"/>
          <w:w w:val="105"/>
          <w:sz w:val="20"/>
        </w:rPr>
        <w:t> </w:t>
      </w:r>
      <w:r>
        <w:rPr>
          <w:rFonts w:ascii="Times New Roman"/>
          <w:spacing w:val="-2"/>
          <w:w w:val="105"/>
          <w:sz w:val="20"/>
        </w:rPr>
        <w:t>report</w:t>
      </w:r>
    </w:p>
    <w:p>
      <w:pPr>
        <w:pStyle w:val="BodyText"/>
        <w:spacing w:before="21"/>
        <w:rPr>
          <w:rFonts w:ascii="Times New Roman"/>
        </w:rPr>
      </w:pPr>
    </w:p>
    <w:p>
      <w:pPr>
        <w:pStyle w:val="BodyText"/>
        <w:spacing w:line="252" w:lineRule="auto"/>
        <w:ind w:left="304" w:right="38" w:firstLine="241"/>
        <w:jc w:val="both"/>
      </w:pPr>
      <w:r>
        <w:rPr/>
        <w:t>A girl was born at 40</w:t>
      </w:r>
      <w:r>
        <w:rPr>
          <w:spacing w:val="-12"/>
        </w:rPr>
        <w:t> </w:t>
      </w:r>
      <w:r>
        <w:rPr/>
        <w:t>weeks of gestation to </w:t>
      </w:r>
      <w:r>
        <w:rPr/>
        <w:t>healthy </w:t>
      </w:r>
      <w:r>
        <w:rPr>
          <w:spacing w:val="-4"/>
        </w:rPr>
        <w:t>non-consanguineous</w:t>
      </w:r>
      <w:r>
        <w:rPr>
          <w:spacing w:val="-9"/>
        </w:rPr>
        <w:t> </w:t>
      </w:r>
      <w:r>
        <w:rPr>
          <w:spacing w:val="-4"/>
        </w:rPr>
        <w:t>parents</w:t>
      </w:r>
      <w:r>
        <w:rPr>
          <w:spacing w:val="-8"/>
        </w:rPr>
        <w:t> </w:t>
      </w:r>
      <w:r>
        <w:rPr>
          <w:spacing w:val="-4"/>
        </w:rPr>
        <w:t>without</w:t>
      </w:r>
      <w:r>
        <w:rPr>
          <w:spacing w:val="-8"/>
        </w:rPr>
        <w:t> </w:t>
      </w:r>
      <w:r>
        <w:rPr>
          <w:spacing w:val="-4"/>
        </w:rPr>
        <w:t>any</w:t>
      </w:r>
      <w:r>
        <w:rPr>
          <w:spacing w:val="-8"/>
        </w:rPr>
        <w:t> </w:t>
      </w:r>
      <w:r>
        <w:rPr>
          <w:spacing w:val="-4"/>
        </w:rPr>
        <w:t>abnormalities. </w:t>
      </w:r>
      <w:r>
        <w:rPr/>
        <w:t>The</w:t>
      </w:r>
      <w:r>
        <w:rPr>
          <w:spacing w:val="-10"/>
        </w:rPr>
        <w:t> </w:t>
      </w:r>
      <w:r>
        <w:rPr/>
        <w:t>birth</w:t>
      </w:r>
      <w:r>
        <w:rPr>
          <w:spacing w:val="-10"/>
        </w:rPr>
        <w:t> </w:t>
      </w:r>
      <w:r>
        <w:rPr/>
        <w:t>weight,</w:t>
      </w:r>
      <w:r>
        <w:rPr>
          <w:spacing w:val="-10"/>
        </w:rPr>
        <w:t> </w:t>
      </w:r>
      <w:r>
        <w:rPr/>
        <w:t>height,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head</w:t>
      </w:r>
      <w:r>
        <w:rPr>
          <w:spacing w:val="-10"/>
        </w:rPr>
        <w:t> </w:t>
      </w:r>
      <w:r>
        <w:rPr/>
        <w:t>circumference</w:t>
      </w:r>
      <w:r>
        <w:rPr>
          <w:spacing w:val="-10"/>
        </w:rPr>
        <w:t> </w:t>
      </w:r>
      <w:r>
        <w:rPr/>
        <w:t>were normative. Early development and growth were unre- markable. At 4</w:t>
      </w:r>
      <w:r>
        <w:rPr>
          <w:spacing w:val="-9"/>
        </w:rPr>
        <w:t> </w:t>
      </w:r>
      <w:r>
        <w:rPr/>
        <w:t>months of age, she developed poor weight gain, emesis, hypotonia, developmental delay, and</w:t>
      </w:r>
      <w:r>
        <w:rPr>
          <w:spacing w:val="-13"/>
        </w:rPr>
        <w:t> </w:t>
      </w:r>
      <w:r>
        <w:rPr/>
        <w:t>lethargy.</w:t>
      </w:r>
      <w:r>
        <w:rPr>
          <w:spacing w:val="-12"/>
        </w:rPr>
        <w:t> </w:t>
      </w:r>
      <w:r>
        <w:rPr/>
        <w:t>She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admitted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our</w:t>
      </w:r>
      <w:r>
        <w:rPr>
          <w:spacing w:val="-12"/>
        </w:rPr>
        <w:t> </w:t>
      </w:r>
      <w:r>
        <w:rPr/>
        <w:t>hospital</w:t>
      </w:r>
      <w:r>
        <w:rPr>
          <w:spacing w:val="-12"/>
        </w:rPr>
        <w:t> </w:t>
      </w:r>
      <w:r>
        <w:rPr/>
        <w:t>because of recurrent vomiting at 6 months of age.</w:t>
      </w:r>
    </w:p>
    <w:p>
      <w:pPr>
        <w:pStyle w:val="BodyText"/>
        <w:spacing w:line="252" w:lineRule="auto"/>
        <w:ind w:left="304" w:right="38" w:firstLine="241"/>
        <w:jc w:val="both"/>
      </w:pPr>
      <w:r>
        <w:rPr/>
        <w:t>On</w:t>
      </w:r>
      <w:r>
        <w:rPr>
          <w:spacing w:val="-7"/>
        </w:rPr>
        <w:t> </w:t>
      </w:r>
      <w:r>
        <w:rPr/>
        <w:t>admission, body length was 60.9</w:t>
      </w:r>
      <w:r>
        <w:rPr>
          <w:spacing w:val="-13"/>
        </w:rPr>
        <w:t> </w:t>
      </w:r>
      <w:r>
        <w:rPr/>
        <w:t>cm </w:t>
      </w:r>
      <w:r>
        <w:rPr>
          <w:w w:val="130"/>
        </w:rPr>
        <w:t>[</w:t>
      </w:r>
      <w:r>
        <w:rPr>
          <w:rFonts w:ascii="Arial"/>
          <w:w w:val="130"/>
        </w:rPr>
        <w:t>-</w:t>
      </w:r>
      <w:r>
        <w:rPr/>
        <w:t>2.2</w:t>
      </w:r>
      <w:r>
        <w:rPr>
          <w:spacing w:val="-1"/>
        </w:rPr>
        <w:t> </w:t>
      </w:r>
      <w:r>
        <w:rPr/>
        <w:t>stan- dard deviation (SD)], body weight was 5600</w:t>
      </w:r>
      <w:r>
        <w:rPr>
          <w:spacing w:val="-12"/>
        </w:rPr>
        <w:t> </w:t>
      </w:r>
      <w:r>
        <w:rPr/>
        <w:t>g </w:t>
      </w:r>
      <w:r>
        <w:rPr>
          <w:w w:val="130"/>
        </w:rPr>
        <w:t>(</w:t>
      </w:r>
      <w:r>
        <w:rPr>
          <w:rFonts w:ascii="Arial"/>
          <w:w w:val="130"/>
        </w:rPr>
        <w:t>-</w:t>
      </w:r>
      <w:r>
        <w:rPr/>
        <w:t>2.3 SD), and head circumference was 42</w:t>
      </w:r>
      <w:r>
        <w:rPr>
          <w:spacing w:val="-12"/>
        </w:rPr>
        <w:t> </w:t>
      </w:r>
      <w:r>
        <w:rPr/>
        <w:t>cm (+0.2 </w:t>
      </w:r>
      <w:r>
        <w:rPr/>
        <w:t>SD). Hepatomegaly of a hard consistency was observed approximately 3</w:t>
      </w:r>
      <w:r>
        <w:rPr>
          <w:spacing w:val="-13"/>
        </w:rPr>
        <w:t> </w:t>
      </w:r>
      <w:r>
        <w:rPr/>
        <w:t>cm under the costal margin with no associated</w:t>
      </w:r>
      <w:r>
        <w:rPr>
          <w:spacing w:val="67"/>
        </w:rPr>
        <w:t> </w:t>
      </w:r>
      <w:r>
        <w:rPr/>
        <w:t>splenomegaly.</w:t>
      </w:r>
      <w:r>
        <w:rPr>
          <w:spacing w:val="69"/>
        </w:rPr>
        <w:t> </w:t>
      </w:r>
      <w:r>
        <w:rPr/>
        <w:t>She</w:t>
      </w:r>
      <w:r>
        <w:rPr>
          <w:spacing w:val="68"/>
        </w:rPr>
        <w:t> </w:t>
      </w:r>
      <w:r>
        <w:rPr/>
        <w:t>was</w:t>
      </w:r>
      <w:r>
        <w:rPr>
          <w:spacing w:val="68"/>
        </w:rPr>
        <w:t> </w:t>
      </w:r>
      <w:r>
        <w:rPr/>
        <w:t>alert</w:t>
      </w:r>
      <w:r>
        <w:rPr>
          <w:spacing w:val="69"/>
        </w:rPr>
        <w:t> </w:t>
      </w:r>
      <w:r>
        <w:rPr/>
        <w:t>and</w:t>
      </w:r>
      <w:r>
        <w:rPr>
          <w:spacing w:val="68"/>
        </w:rPr>
        <w:t> </w:t>
      </w:r>
      <w:r>
        <w:rPr>
          <w:spacing w:val="-4"/>
        </w:rPr>
        <w:t>could</w:t>
      </w:r>
    </w:p>
    <w:p>
      <w:pPr>
        <w:pStyle w:val="BodyText"/>
        <w:spacing w:line="252" w:lineRule="auto" w:before="72"/>
        <w:ind w:left="304" w:right="140"/>
        <w:jc w:val="both"/>
      </w:pPr>
      <w:r>
        <w:rPr/>
        <w:br w:type="column"/>
      </w:r>
      <w:r>
        <w:rPr>
          <w:spacing w:val="-4"/>
        </w:rPr>
        <w:t>establish good eye contact and smile. She showed severe </w:t>
      </w:r>
      <w:r>
        <w:rPr>
          <w:spacing w:val="-2"/>
        </w:rPr>
        <w:t>hypotonia</w:t>
      </w:r>
      <w:r>
        <w:rPr>
          <w:spacing w:val="-2"/>
        </w:rPr>
        <w:t> and</w:t>
      </w:r>
      <w:r>
        <w:rPr>
          <w:spacing w:val="-2"/>
        </w:rPr>
        <w:t> proximal</w:t>
      </w:r>
      <w:r>
        <w:rPr>
          <w:spacing w:val="-2"/>
        </w:rPr>
        <w:t> dominant</w:t>
      </w:r>
      <w:r>
        <w:rPr>
          <w:spacing w:val="-2"/>
        </w:rPr>
        <w:t> muscular</w:t>
      </w:r>
      <w:r>
        <w:rPr>
          <w:spacing w:val="-2"/>
        </w:rPr>
        <w:t> </w:t>
      </w:r>
      <w:r>
        <w:rPr>
          <w:spacing w:val="-2"/>
        </w:rPr>
        <w:t>weakness. </w:t>
      </w:r>
      <w:r>
        <w:rPr/>
        <w:t>She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hold</w:t>
      </w:r>
      <w:r>
        <w:rPr>
          <w:spacing w:val="-6"/>
        </w:rPr>
        <w:t> </w:t>
      </w:r>
      <w:r>
        <w:rPr/>
        <w:t>neither</w:t>
      </w:r>
      <w:r>
        <w:rPr>
          <w:spacing w:val="-6"/>
        </w:rPr>
        <w:t> </w:t>
      </w:r>
      <w:r>
        <w:rPr/>
        <w:t>her</w:t>
      </w:r>
      <w:r>
        <w:rPr>
          <w:spacing w:val="-6"/>
        </w:rPr>
        <w:t> </w:t>
      </w:r>
      <w:r>
        <w:rPr/>
        <w:t>head</w:t>
      </w:r>
      <w:r>
        <w:rPr>
          <w:spacing w:val="-6"/>
        </w:rPr>
        <w:t> </w:t>
      </w:r>
      <w:r>
        <w:rPr/>
        <w:t>nor</w:t>
      </w:r>
      <w:r>
        <w:rPr>
          <w:spacing w:val="-6"/>
        </w:rPr>
        <w:t> </w:t>
      </w:r>
      <w:r>
        <w:rPr/>
        <w:t>limbs</w:t>
      </w:r>
      <w:r>
        <w:rPr>
          <w:spacing w:val="-6"/>
        </w:rPr>
        <w:t> </w:t>
      </w:r>
      <w:r>
        <w:rPr/>
        <w:t>up.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deep tendon reﬂexes were weak.</w:t>
      </w:r>
    </w:p>
    <w:p>
      <w:pPr>
        <w:pStyle w:val="BodyText"/>
        <w:spacing w:line="252" w:lineRule="auto" w:before="3"/>
        <w:ind w:left="304" w:right="140" w:firstLine="241"/>
        <w:jc w:val="both"/>
      </w:pPr>
      <w:r>
        <w:rPr/>
        <w:t>Although</w:t>
      </w:r>
      <w:r>
        <w:rPr>
          <w:spacing w:val="-5"/>
        </w:rPr>
        <w:t> </w:t>
      </w:r>
      <w:r>
        <w:rPr/>
        <w:t>complete</w:t>
      </w:r>
      <w:r>
        <w:rPr>
          <w:spacing w:val="-4"/>
        </w:rPr>
        <w:t> </w:t>
      </w:r>
      <w:r>
        <w:rPr/>
        <w:t>blood</w:t>
      </w:r>
      <w:r>
        <w:rPr>
          <w:spacing w:val="-5"/>
        </w:rPr>
        <w:t> </w:t>
      </w:r>
      <w:r>
        <w:rPr/>
        <w:t>count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urinalysis</w:t>
      </w:r>
      <w:r>
        <w:rPr>
          <w:spacing w:val="-5"/>
        </w:rPr>
        <w:t> </w:t>
      </w:r>
      <w:r>
        <w:rPr/>
        <w:t>were unremarkable,</w:t>
      </w:r>
      <w:r>
        <w:rPr>
          <w:spacing w:val="-13"/>
        </w:rPr>
        <w:t> </w:t>
      </w:r>
      <w:r>
        <w:rPr/>
        <w:t>hepatocellular</w:t>
      </w:r>
      <w:r>
        <w:rPr>
          <w:spacing w:val="-12"/>
        </w:rPr>
        <w:t> </w:t>
      </w:r>
      <w:r>
        <w:rPr/>
        <w:t>dysfunction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obvious </w:t>
      </w:r>
      <w:r>
        <w:rPr>
          <w:spacing w:val="-2"/>
        </w:rPr>
        <w:t>at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hospitalization,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following</w:t>
      </w:r>
      <w:r>
        <w:rPr>
          <w:spacing w:val="-8"/>
        </w:rPr>
        <w:t> </w:t>
      </w:r>
      <w:r>
        <w:rPr>
          <w:spacing w:val="-2"/>
        </w:rPr>
        <w:t>labora- </w:t>
      </w:r>
      <w:r>
        <w:rPr/>
        <w:t>tory</w:t>
      </w:r>
      <w:r>
        <w:rPr>
          <w:spacing w:val="-13"/>
        </w:rPr>
        <w:t> </w:t>
      </w:r>
      <w:r>
        <w:rPr/>
        <w:t>test</w:t>
      </w:r>
      <w:r>
        <w:rPr>
          <w:spacing w:val="-2"/>
        </w:rPr>
        <w:t> </w:t>
      </w:r>
      <w:r>
        <w:rPr/>
        <w:t>values:</w:t>
      </w:r>
      <w:r>
        <w:rPr>
          <w:spacing w:val="-2"/>
        </w:rPr>
        <w:t> </w:t>
      </w:r>
      <w:r>
        <w:rPr/>
        <w:t>aspartate</w:t>
      </w:r>
      <w:r>
        <w:rPr>
          <w:spacing w:val="-2"/>
        </w:rPr>
        <w:t> </w:t>
      </w:r>
      <w:r>
        <w:rPr/>
        <w:t>aminotransferase,</w:t>
      </w:r>
      <w:r>
        <w:rPr>
          <w:spacing w:val="-2"/>
        </w:rPr>
        <w:t> </w:t>
      </w:r>
      <w:r>
        <w:rPr/>
        <w:t>390</w:t>
      </w:r>
      <w:r>
        <w:rPr>
          <w:spacing w:val="-13"/>
        </w:rPr>
        <w:t> </w:t>
      </w:r>
      <w:r>
        <w:rPr/>
        <w:t>U/L; alanine</w:t>
      </w:r>
      <w:r>
        <w:rPr>
          <w:spacing w:val="60"/>
          <w:w w:val="150"/>
        </w:rPr>
        <w:t> </w:t>
      </w:r>
      <w:r>
        <w:rPr/>
        <w:t>aminotransferase,</w:t>
      </w:r>
      <w:r>
        <w:rPr>
          <w:spacing w:val="60"/>
          <w:w w:val="150"/>
        </w:rPr>
        <w:t> </w:t>
      </w:r>
      <w:r>
        <w:rPr/>
        <w:t>218</w:t>
      </w:r>
      <w:r>
        <w:rPr>
          <w:spacing w:val="-9"/>
        </w:rPr>
        <w:t> </w:t>
      </w:r>
      <w:r>
        <w:rPr/>
        <w:t>U/L;</w:t>
      </w:r>
      <w:r>
        <w:rPr>
          <w:spacing w:val="61"/>
          <w:w w:val="150"/>
        </w:rPr>
        <w:t> </w:t>
      </w:r>
      <w:r>
        <w:rPr/>
        <w:t>total</w:t>
      </w:r>
      <w:r>
        <w:rPr>
          <w:spacing w:val="61"/>
          <w:w w:val="150"/>
        </w:rPr>
        <w:t> </w:t>
      </w:r>
      <w:r>
        <w:rPr>
          <w:spacing w:val="-2"/>
        </w:rPr>
        <w:t>bilirubin,</w:t>
      </w:r>
    </w:p>
    <w:p>
      <w:pPr>
        <w:pStyle w:val="BodyText"/>
        <w:spacing w:line="252" w:lineRule="auto"/>
        <w:ind w:left="304" w:right="140"/>
        <w:jc w:val="both"/>
      </w:pPr>
      <w:r>
        <w:rPr/>
        <w:t>1.6</w:t>
      </w:r>
      <w:r>
        <w:rPr>
          <w:spacing w:val="-6"/>
        </w:rPr>
        <w:t> </w:t>
      </w:r>
      <w:r>
        <w:rPr/>
        <w:t>mg/dL; total bile acids, 172</w:t>
      </w:r>
      <w:r>
        <w:rPr>
          <w:spacing w:val="-6"/>
        </w:rPr>
        <w:t> </w:t>
      </w:r>
      <w:r>
        <w:rPr>
          <w:rFonts w:ascii="Times New Roman" w:hAnsi="Times New Roman"/>
        </w:rPr>
        <w:t>l</w:t>
      </w:r>
      <w:r>
        <w:rPr/>
        <w:t>mol/L; </w:t>
      </w:r>
      <w:r>
        <w:rPr>
          <w:rFonts w:ascii="Times New Roman" w:hAnsi="Times New Roman"/>
        </w:rPr>
        <w:t>c</w:t>
      </w:r>
      <w:r>
        <w:rPr/>
        <w:t>-</w:t>
      </w:r>
      <w:r>
        <w:rPr/>
        <w:t>glutamyl transpeptidase, 179</w:t>
      </w:r>
      <w:r>
        <w:rPr>
          <w:spacing w:val="-13"/>
        </w:rPr>
        <w:t> </w:t>
      </w:r>
      <w:r>
        <w:rPr/>
        <w:t>IU/L; leucine aminopeptidase, </w:t>
      </w:r>
      <w:r>
        <w:rPr>
          <w:spacing w:val="-2"/>
        </w:rPr>
        <w:t>268</w:t>
      </w:r>
      <w:r>
        <w:rPr>
          <w:spacing w:val="-11"/>
        </w:rPr>
        <w:t> </w:t>
      </w:r>
      <w:r>
        <w:rPr>
          <w:spacing w:val="-2"/>
        </w:rPr>
        <w:t>IU/L;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cholinesterase,</w:t>
      </w:r>
      <w:r>
        <w:rPr>
          <w:spacing w:val="-3"/>
        </w:rPr>
        <w:t> </w:t>
      </w:r>
      <w:r>
        <w:rPr>
          <w:spacing w:val="-2"/>
        </w:rPr>
        <w:t>73</w:t>
      </w:r>
      <w:r>
        <w:rPr>
          <w:spacing w:val="-11"/>
        </w:rPr>
        <w:t> </w:t>
      </w:r>
      <w:r>
        <w:rPr>
          <w:spacing w:val="-2"/>
        </w:rPr>
        <w:t>IU/L. Levels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serum </w:t>
      </w:r>
      <w:r>
        <w:rPr/>
        <w:t>creatine kinase and blood glucose were normal. </w:t>
      </w:r>
      <w:r>
        <w:rPr>
          <w:spacing w:val="-2"/>
        </w:rPr>
        <w:t>Cerebrospinal</w:t>
      </w:r>
      <w:r>
        <w:rPr>
          <w:spacing w:val="-11"/>
        </w:rPr>
        <w:t> </w:t>
      </w:r>
      <w:r>
        <w:rPr>
          <w:spacing w:val="-2"/>
        </w:rPr>
        <w:t>ﬂuid</w:t>
      </w:r>
      <w:r>
        <w:rPr>
          <w:spacing w:val="-10"/>
        </w:rPr>
        <w:t> </w:t>
      </w:r>
      <w:r>
        <w:rPr>
          <w:spacing w:val="-2"/>
        </w:rPr>
        <w:t>(CSF)</w:t>
      </w:r>
      <w:r>
        <w:rPr>
          <w:spacing w:val="-10"/>
        </w:rPr>
        <w:t> </w:t>
      </w:r>
      <w:r>
        <w:rPr>
          <w:spacing w:val="-2"/>
        </w:rPr>
        <w:t>examination</w:t>
      </w:r>
      <w:r>
        <w:rPr>
          <w:spacing w:val="-10"/>
        </w:rPr>
        <w:t> </w:t>
      </w:r>
      <w:r>
        <w:rPr>
          <w:spacing w:val="-2"/>
        </w:rPr>
        <w:t>showed</w:t>
      </w:r>
      <w:r>
        <w:rPr>
          <w:spacing w:val="-10"/>
        </w:rPr>
        <w:t> </w:t>
      </w:r>
      <w:r>
        <w:rPr>
          <w:spacing w:val="-2"/>
        </w:rPr>
        <w:t>elevated </w:t>
      </w:r>
      <w:r>
        <w:rPr/>
        <w:t>protein</w:t>
      </w:r>
      <w:r>
        <w:rPr>
          <w:spacing w:val="-13"/>
        </w:rPr>
        <w:t> </w:t>
      </w:r>
      <w:r>
        <w:rPr/>
        <w:t>levels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304</w:t>
      </w:r>
      <w:r>
        <w:rPr>
          <w:spacing w:val="-13"/>
        </w:rPr>
        <w:t> </w:t>
      </w:r>
      <w:r>
        <w:rPr/>
        <w:t>mg/dL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normal</w:t>
      </w:r>
      <w:r>
        <w:rPr>
          <w:spacing w:val="-6"/>
        </w:rPr>
        <w:t> </w:t>
      </w:r>
      <w:r>
        <w:rPr/>
        <w:t>cell</w:t>
      </w:r>
      <w:r>
        <w:rPr>
          <w:spacing w:val="-6"/>
        </w:rPr>
        <w:t> </w:t>
      </w:r>
      <w:r>
        <w:rPr/>
        <w:t>count</w:t>
      </w:r>
      <w:r>
        <w:rPr>
          <w:spacing w:val="-7"/>
        </w:rPr>
        <w:t> </w:t>
      </w:r>
      <w:r>
        <w:rPr/>
        <w:t>and glucose</w:t>
      </w:r>
      <w:r>
        <w:rPr>
          <w:spacing w:val="-3"/>
        </w:rPr>
        <w:t> </w:t>
      </w:r>
      <w:r>
        <w:rPr/>
        <w:t>levels.</w:t>
      </w:r>
      <w:r>
        <w:rPr>
          <w:spacing w:val="-3"/>
        </w:rPr>
        <w:t> </w:t>
      </w:r>
      <w:r>
        <w:rPr/>
        <w:t>Lactic</w:t>
      </w:r>
      <w:r>
        <w:rPr>
          <w:spacing w:val="-3"/>
        </w:rPr>
        <w:t> </w:t>
      </w:r>
      <w:r>
        <w:rPr/>
        <w:t>acid</w:t>
      </w:r>
      <w:r>
        <w:rPr>
          <w:spacing w:val="-2"/>
        </w:rPr>
        <w:t> </w:t>
      </w:r>
      <w:r>
        <w:rPr/>
        <w:t>was</w:t>
      </w:r>
      <w:r>
        <w:rPr>
          <w:spacing w:val="-3"/>
        </w:rPr>
        <w:t> </w:t>
      </w:r>
      <w:r>
        <w:rPr/>
        <w:t>elevated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both</w:t>
      </w:r>
      <w:r>
        <w:rPr>
          <w:spacing w:val="-3"/>
        </w:rPr>
        <w:t> </w:t>
      </w:r>
      <w:r>
        <w:rPr/>
        <w:t>plasma and</w:t>
      </w:r>
      <w:r>
        <w:rPr>
          <w:spacing w:val="-6"/>
        </w:rPr>
        <w:t> </w:t>
      </w:r>
      <w:r>
        <w:rPr/>
        <w:t>CSF, at 15.9</w:t>
      </w:r>
      <w:r>
        <w:rPr>
          <w:spacing w:val="-13"/>
        </w:rPr>
        <w:t> </w:t>
      </w:r>
      <w:r>
        <w:rPr/>
        <w:t>mg/dL and 30.3</w:t>
      </w:r>
      <w:r>
        <w:rPr>
          <w:spacing w:val="-13"/>
        </w:rPr>
        <w:t> </w:t>
      </w:r>
      <w:r>
        <w:rPr/>
        <w:t>mg/dL, respectively. Pyruvic acid was normal in both plasma and CSF. </w:t>
      </w:r>
      <w:r>
        <w:rPr>
          <w:spacing w:val="-4"/>
        </w:rPr>
        <w:t>Metabolic screening tests, including urine organic acids, </w:t>
      </w:r>
      <w:r>
        <w:rPr/>
        <w:t>plasma, and urine amino acids, were unremarkable. Initial</w:t>
      </w:r>
      <w:r>
        <w:rPr>
          <w:spacing w:val="-10"/>
        </w:rPr>
        <w:t> </w:t>
      </w:r>
      <w:r>
        <w:rPr/>
        <w:t>brain</w:t>
      </w:r>
      <w:r>
        <w:rPr>
          <w:spacing w:val="-10"/>
        </w:rPr>
        <w:t> </w:t>
      </w:r>
      <w:r>
        <w:rPr/>
        <w:t>computed</w:t>
      </w:r>
      <w:r>
        <w:rPr>
          <w:spacing w:val="-11"/>
        </w:rPr>
        <w:t> </w:t>
      </w:r>
      <w:r>
        <w:rPr/>
        <w:t>tomography</w:t>
      </w:r>
      <w:r>
        <w:rPr>
          <w:spacing w:val="-10"/>
        </w:rPr>
        <w:t> </w:t>
      </w:r>
      <w:r>
        <w:rPr/>
        <w:t>(CT)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magnetic resonance</w:t>
      </w:r>
      <w:r>
        <w:rPr>
          <w:spacing w:val="-10"/>
        </w:rPr>
        <w:t> </w:t>
      </w:r>
      <w:r>
        <w:rPr/>
        <w:t>imaging</w:t>
      </w:r>
      <w:r>
        <w:rPr>
          <w:spacing w:val="-3"/>
        </w:rPr>
        <w:t> </w:t>
      </w:r>
      <w:r>
        <w:rPr/>
        <w:t>performed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6</w:t>
      </w:r>
      <w:r>
        <w:rPr>
          <w:spacing w:val="-13"/>
        </w:rPr>
        <w:t> </w:t>
      </w:r>
      <w:r>
        <w:rPr/>
        <w:t>months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age</w:t>
      </w:r>
      <w:r>
        <w:rPr>
          <w:spacing w:val="-3"/>
        </w:rPr>
        <w:t> </w:t>
      </w:r>
      <w:r>
        <w:rPr/>
        <w:t>were </w:t>
      </w:r>
      <w:r>
        <w:rPr>
          <w:spacing w:val="-2"/>
        </w:rPr>
        <w:t>unremarkable.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2"/>
        </w:rPr>
        <w:t> electroencephalogram</w:t>
      </w:r>
      <w:r>
        <w:rPr>
          <w:spacing w:val="-2"/>
        </w:rPr>
        <w:t> showed</w:t>
      </w:r>
      <w:r>
        <w:rPr>
          <w:spacing w:val="-3"/>
        </w:rPr>
        <w:t> </w:t>
      </w:r>
      <w:r>
        <w:rPr>
          <w:spacing w:val="-2"/>
        </w:rPr>
        <w:t>gen- eralized</w:t>
      </w:r>
      <w:r>
        <w:rPr>
          <w:spacing w:val="-7"/>
        </w:rPr>
        <w:t> </w:t>
      </w:r>
      <w:r>
        <w:rPr>
          <w:spacing w:val="-2"/>
        </w:rPr>
        <w:t>slow</w:t>
      </w:r>
      <w:r>
        <w:rPr>
          <w:spacing w:val="-7"/>
        </w:rPr>
        <w:t> </w:t>
      </w:r>
      <w:r>
        <w:rPr>
          <w:spacing w:val="-2"/>
        </w:rPr>
        <w:t>wave</w:t>
      </w:r>
      <w:r>
        <w:rPr>
          <w:spacing w:val="-7"/>
        </w:rPr>
        <w:t> </w:t>
      </w:r>
      <w:r>
        <w:rPr>
          <w:spacing w:val="-2"/>
        </w:rPr>
        <w:t>activity.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7"/>
        </w:rPr>
        <w:t> </w:t>
      </w:r>
      <w:r>
        <w:rPr>
          <w:spacing w:val="-2"/>
        </w:rPr>
        <w:t>wave</w:t>
      </w:r>
      <w:r>
        <w:rPr>
          <w:spacing w:val="-7"/>
        </w:rPr>
        <w:t> </w:t>
      </w:r>
      <w:r>
        <w:rPr>
          <w:spacing w:val="-2"/>
        </w:rPr>
        <w:t>I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identiﬁable on</w:t>
      </w:r>
      <w:r>
        <w:rPr>
          <w:spacing w:val="-11"/>
        </w:rPr>
        <w:t> </w:t>
      </w:r>
      <w:r>
        <w:rPr>
          <w:spacing w:val="-2"/>
        </w:rPr>
        <w:t>auditory</w:t>
      </w:r>
      <w:r>
        <w:rPr>
          <w:spacing w:val="-10"/>
        </w:rPr>
        <w:t> </w:t>
      </w:r>
      <w:r>
        <w:rPr>
          <w:spacing w:val="-2"/>
        </w:rPr>
        <w:t>evoked</w:t>
      </w:r>
      <w:r>
        <w:rPr>
          <w:spacing w:val="-10"/>
        </w:rPr>
        <w:t> </w:t>
      </w:r>
      <w:r>
        <w:rPr>
          <w:spacing w:val="-2"/>
        </w:rPr>
        <w:t>potentials.</w:t>
      </w:r>
      <w:r>
        <w:rPr>
          <w:spacing w:val="-10"/>
        </w:rPr>
        <w:t> </w:t>
      </w:r>
      <w:r>
        <w:rPr>
          <w:spacing w:val="-2"/>
        </w:rPr>
        <w:t>Motor</w:t>
      </w:r>
      <w:r>
        <w:rPr>
          <w:spacing w:val="-10"/>
        </w:rPr>
        <w:t> </w:t>
      </w:r>
      <w:r>
        <w:rPr>
          <w:spacing w:val="-2"/>
        </w:rPr>
        <w:t>nerve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sensory </w:t>
      </w:r>
      <w:r>
        <w:rPr/>
        <w:t>conduction were mildly delayed.</w:t>
      </w:r>
    </w:p>
    <w:p>
      <w:pPr>
        <w:pStyle w:val="BodyText"/>
        <w:spacing w:line="252" w:lineRule="auto" w:before="7"/>
        <w:ind w:left="304" w:right="140" w:firstLine="241"/>
        <w:jc w:val="both"/>
      </w:pPr>
      <w:r>
        <w:rPr/>
        <w:t>Muscle</w:t>
      </w:r>
      <w:r>
        <w:rPr>
          <w:spacing w:val="-8"/>
        </w:rPr>
        <w:t> </w:t>
      </w:r>
      <w:r>
        <w:rPr/>
        <w:t>biopsy</w:t>
      </w:r>
      <w:r>
        <w:rPr>
          <w:spacing w:val="-5"/>
        </w:rPr>
        <w:t> </w:t>
      </w:r>
      <w:r>
        <w:rPr/>
        <w:t>ﬁndings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6</w:t>
      </w:r>
      <w:r>
        <w:rPr>
          <w:spacing w:val="-13"/>
        </w:rPr>
        <w:t> </w:t>
      </w:r>
      <w:r>
        <w:rPr/>
        <w:t>months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age</w:t>
      </w:r>
      <w:r>
        <w:rPr>
          <w:spacing w:val="-5"/>
        </w:rPr>
        <w:t> </w:t>
      </w:r>
      <w:r>
        <w:rPr/>
        <w:t>showed</w:t>
      </w:r>
      <w:r>
        <w:rPr>
          <w:spacing w:val="-5"/>
        </w:rPr>
        <w:t> </w:t>
      </w:r>
      <w:r>
        <w:rPr/>
        <w:t>a variation in ﬁber type; ragged-red ﬁber was not observed. Lipid and glycogen storage were not observed. Cytochrome c oxidase staining showed normal ﬁndings. Analysis of the RCC enzyme activity revealed no abnormality. No mtDNA mutations were </w:t>
      </w:r>
      <w:r>
        <w:rPr>
          <w:spacing w:val="-2"/>
        </w:rPr>
        <w:t>identiﬁed.</w:t>
      </w:r>
    </w:p>
    <w:p>
      <w:pPr>
        <w:pStyle w:val="BodyText"/>
        <w:spacing w:line="252" w:lineRule="auto" w:before="3"/>
        <w:ind w:left="304" w:right="140" w:firstLine="241"/>
        <w:jc w:val="both"/>
      </w:pPr>
      <w:r>
        <w:rPr>
          <w:spacing w:val="-2"/>
        </w:rPr>
        <w:t>Soon</w:t>
      </w:r>
      <w:r>
        <w:rPr>
          <w:spacing w:val="-11"/>
        </w:rPr>
        <w:t> </w:t>
      </w:r>
      <w:r>
        <w:rPr>
          <w:spacing w:val="-2"/>
        </w:rPr>
        <w:t>after</w:t>
      </w:r>
      <w:r>
        <w:rPr>
          <w:spacing w:val="-10"/>
        </w:rPr>
        <w:t> </w:t>
      </w:r>
      <w:r>
        <w:rPr>
          <w:spacing w:val="-2"/>
        </w:rPr>
        <w:t>admission,</w:t>
      </w:r>
      <w:r>
        <w:rPr>
          <w:spacing w:val="-10"/>
        </w:rPr>
        <w:t> </w:t>
      </w:r>
      <w:r>
        <w:rPr>
          <w:spacing w:val="-2"/>
        </w:rPr>
        <w:t>diﬃculty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feeding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vomit- </w:t>
      </w:r>
      <w:r>
        <w:rPr/>
        <w:t>ing</w:t>
      </w:r>
      <w:r>
        <w:rPr>
          <w:spacing w:val="-9"/>
        </w:rPr>
        <w:t> </w:t>
      </w:r>
      <w:r>
        <w:rPr/>
        <w:t>aggravated,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tube</w:t>
      </w:r>
      <w:r>
        <w:rPr>
          <w:spacing w:val="-9"/>
        </w:rPr>
        <w:t> </w:t>
      </w:r>
      <w:r>
        <w:rPr/>
        <w:t>feeding</w:t>
      </w:r>
      <w:r>
        <w:rPr>
          <w:spacing w:val="-9"/>
        </w:rPr>
        <w:t> </w:t>
      </w:r>
      <w:r>
        <w:rPr/>
        <w:t>along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parenteral nutrition was required. She experienced bouts </w:t>
      </w:r>
      <w:r>
        <w:rPr/>
        <w:t>of diarrhea.</w:t>
      </w:r>
      <w:r>
        <w:rPr>
          <w:spacing w:val="-11"/>
        </w:rPr>
        <w:t> </w:t>
      </w:r>
      <w:r>
        <w:rPr/>
        <w:t>Consciousness</w:t>
      </w:r>
      <w:r>
        <w:rPr>
          <w:spacing w:val="-12"/>
        </w:rPr>
        <w:t> </w:t>
      </w:r>
      <w:r>
        <w:rPr/>
        <w:t>level</w:t>
      </w:r>
      <w:r>
        <w:rPr>
          <w:spacing w:val="-11"/>
        </w:rPr>
        <w:t> </w:t>
      </w:r>
      <w:r>
        <w:rPr/>
        <w:t>decreased</w:t>
      </w:r>
      <w:r>
        <w:rPr>
          <w:spacing w:val="-12"/>
        </w:rPr>
        <w:t> </w:t>
      </w:r>
      <w:r>
        <w:rPr/>
        <w:t>progressively, and myoclonic jerks of the right and left arms were infrequently observed. Follow-up CT revealed mild cerebral atrophy at 7</w:t>
      </w:r>
      <w:r>
        <w:rPr>
          <w:spacing w:val="-11"/>
        </w:rPr>
        <w:t> </w:t>
      </w:r>
      <w:r>
        <w:rPr/>
        <w:t>months of age. Hepatocellular dysfunction</w:t>
      </w:r>
      <w:r>
        <w:rPr>
          <w:spacing w:val="-10"/>
        </w:rPr>
        <w:t> </w:t>
      </w:r>
      <w:r>
        <w:rPr/>
        <w:t>exacerbated</w:t>
      </w:r>
      <w:r>
        <w:rPr>
          <w:spacing w:val="-10"/>
        </w:rPr>
        <w:t> </w:t>
      </w:r>
      <w:r>
        <w:rPr/>
        <w:t>progressively,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she</w:t>
      </w:r>
      <w:r>
        <w:rPr>
          <w:spacing w:val="-10"/>
        </w:rPr>
        <w:t> </w:t>
      </w:r>
      <w:r>
        <w:rPr/>
        <w:t>died</w:t>
      </w:r>
      <w:r>
        <w:rPr>
          <w:spacing w:val="-10"/>
        </w:rPr>
        <w:t> </w:t>
      </w:r>
      <w:r>
        <w:rPr/>
        <w:t>of multiple</w:t>
      </w:r>
      <w:r>
        <w:rPr>
          <w:spacing w:val="40"/>
        </w:rPr>
        <w:t> </w:t>
      </w:r>
      <w:r>
        <w:rPr/>
        <w:t>organ</w:t>
      </w:r>
      <w:r>
        <w:rPr>
          <w:spacing w:val="40"/>
        </w:rPr>
        <w:t> </w:t>
      </w:r>
      <w:r>
        <w:rPr/>
        <w:t>failure</w:t>
      </w:r>
      <w:r>
        <w:rPr>
          <w:spacing w:val="40"/>
        </w:rPr>
        <w:t> </w:t>
      </w:r>
      <w:r>
        <w:rPr/>
        <w:t>caused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hepatic</w:t>
      </w:r>
      <w:r>
        <w:rPr>
          <w:spacing w:val="40"/>
        </w:rPr>
        <w:t> </w:t>
      </w:r>
      <w:r>
        <w:rPr/>
        <w:t>failure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8</w:t>
      </w:r>
      <w:r>
        <w:rPr>
          <w:spacing w:val="-13"/>
        </w:rPr>
        <w:t> </w:t>
      </w:r>
      <w:r>
        <w:rPr/>
        <w:t>months of age, despite supplementation of multiple vitamins and coenzyme Q 10, and was autopsied. Two years later, another girl was born to the parents. She had the same clinical course and laboratory ﬁndings observed in the present patient and died at 7</w:t>
      </w:r>
      <w:r>
        <w:rPr>
          <w:spacing w:val="-13"/>
        </w:rPr>
        <w:t> </w:t>
      </w:r>
      <w:r>
        <w:rPr/>
        <w:t>months of age. Valproic acid was not used in either patient.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679" w:val="left" w:leader="none"/>
        </w:tabs>
        <w:spacing w:line="240" w:lineRule="auto" w:before="0" w:after="0"/>
        <w:ind w:left="679" w:right="0" w:hanging="373"/>
        <w:jc w:val="both"/>
        <w:rPr>
          <w:rFonts w:ascii="Times New Roman"/>
          <w:i/>
          <w:sz w:val="20"/>
        </w:rPr>
      </w:pPr>
      <w:r>
        <w:rPr>
          <w:rFonts w:ascii="Times New Roman"/>
          <w:i/>
          <w:w w:val="105"/>
          <w:sz w:val="20"/>
        </w:rPr>
        <w:t>Postmortem</w:t>
      </w:r>
      <w:r>
        <w:rPr>
          <w:rFonts w:ascii="Times New Roman"/>
          <w:i/>
          <w:spacing w:val="10"/>
          <w:w w:val="105"/>
          <w:sz w:val="20"/>
        </w:rPr>
        <w:t> </w:t>
      </w:r>
      <w:r>
        <w:rPr>
          <w:rFonts w:ascii="Times New Roman"/>
          <w:i/>
          <w:spacing w:val="-2"/>
          <w:w w:val="105"/>
          <w:sz w:val="20"/>
        </w:rPr>
        <w:t>examinations</w:t>
      </w:r>
    </w:p>
    <w:p>
      <w:pPr>
        <w:pStyle w:val="BodyText"/>
        <w:spacing w:before="22"/>
        <w:rPr>
          <w:rFonts w:ascii="Times New Roman"/>
          <w:i/>
        </w:rPr>
      </w:pPr>
    </w:p>
    <w:p>
      <w:pPr>
        <w:pStyle w:val="BodyText"/>
        <w:spacing w:line="252" w:lineRule="auto"/>
        <w:ind w:left="304" w:right="140" w:firstLine="241"/>
        <w:jc w:val="both"/>
      </w:pPr>
      <w:r>
        <w:rPr/>
        <w:t>Body</w:t>
      </w:r>
      <w:r>
        <w:rPr>
          <w:spacing w:val="-11"/>
        </w:rPr>
        <w:t> </w:t>
      </w:r>
      <w:r>
        <w:rPr/>
        <w:t>weight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6.0</w:t>
      </w:r>
      <w:r>
        <w:rPr>
          <w:spacing w:val="-13"/>
        </w:rPr>
        <w:t> </w:t>
      </w:r>
      <w:r>
        <w:rPr/>
        <w:t>kg</w:t>
      </w:r>
      <w:r>
        <w:rPr>
          <w:spacing w:val="-1"/>
        </w:rPr>
        <w:t> </w:t>
      </w:r>
      <w:r>
        <w:rPr/>
        <w:t>(mean</w:t>
      </w:r>
      <w:r>
        <w:rPr>
          <w:spacing w:val="-13"/>
        </w:rPr>
        <w:t> </w:t>
      </w:r>
      <w:r>
        <w:rPr/>
        <w:t>±</w:t>
      </w:r>
      <w:r>
        <w:rPr>
          <w:spacing w:val="-12"/>
        </w:rPr>
        <w:t> </w:t>
      </w:r>
      <w:r>
        <w:rPr/>
        <w:t>SD, 8.0</w:t>
      </w:r>
      <w:r>
        <w:rPr>
          <w:spacing w:val="-13"/>
        </w:rPr>
        <w:t> </w:t>
      </w:r>
      <w:r>
        <w:rPr/>
        <w:t>±</w:t>
      </w:r>
      <w:r>
        <w:rPr>
          <w:spacing w:val="-12"/>
        </w:rPr>
        <w:t> </w:t>
      </w:r>
      <w:r>
        <w:rPr/>
        <w:t>0.88</w:t>
      </w:r>
      <w:r>
        <w:rPr>
          <w:spacing w:val="-12"/>
        </w:rPr>
        <w:t> </w:t>
      </w:r>
      <w:r>
        <w:rPr/>
        <w:t>kg). The</w:t>
      </w:r>
      <w:r>
        <w:rPr>
          <w:spacing w:val="-13"/>
        </w:rPr>
        <w:t> </w:t>
      </w:r>
      <w:r>
        <w:rPr/>
        <w:t>weight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atrophic</w:t>
      </w:r>
      <w:r>
        <w:rPr>
          <w:spacing w:val="-11"/>
        </w:rPr>
        <w:t> </w:t>
      </w:r>
      <w:r>
        <w:rPr/>
        <w:t>liver</w:t>
      </w:r>
      <w:r>
        <w:rPr>
          <w:spacing w:val="-10"/>
        </w:rPr>
        <w:t> </w:t>
      </w:r>
      <w:r>
        <w:rPr/>
        <w:t>was</w:t>
      </w:r>
      <w:r>
        <w:rPr>
          <w:spacing w:val="-11"/>
        </w:rPr>
        <w:t> </w:t>
      </w:r>
      <w:r>
        <w:rPr/>
        <w:t>200</w:t>
      </w:r>
      <w:r>
        <w:rPr>
          <w:spacing w:val="-13"/>
        </w:rPr>
        <w:t> </w:t>
      </w:r>
      <w:r>
        <w:rPr/>
        <w:t>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sur- face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yellowish,</w:t>
      </w:r>
      <w:r>
        <w:rPr>
          <w:spacing w:val="-9"/>
        </w:rPr>
        <w:t> </w:t>
      </w:r>
      <w:r>
        <w:rPr/>
        <w:t>irregular,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hard.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lungs</w:t>
      </w:r>
      <w:r>
        <w:rPr>
          <w:spacing w:val="-10"/>
        </w:rPr>
        <w:t> </w:t>
      </w:r>
      <w:r>
        <w:rPr/>
        <w:t>were congested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adrenal</w:t>
      </w:r>
      <w:r>
        <w:rPr>
          <w:spacing w:val="-11"/>
        </w:rPr>
        <w:t> </w:t>
      </w:r>
      <w:r>
        <w:rPr/>
        <w:t>glands</w:t>
      </w:r>
      <w:r>
        <w:rPr>
          <w:spacing w:val="-12"/>
        </w:rPr>
        <w:t> </w:t>
      </w:r>
      <w:r>
        <w:rPr/>
        <w:t>were</w:t>
      </w:r>
      <w:r>
        <w:rPr>
          <w:spacing w:val="-12"/>
        </w:rPr>
        <w:t> </w:t>
      </w:r>
      <w:r>
        <w:rPr/>
        <w:t>atrophic.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other visceral</w:t>
      </w:r>
      <w:r>
        <w:rPr>
          <w:spacing w:val="58"/>
        </w:rPr>
        <w:t> </w:t>
      </w:r>
      <w:r>
        <w:rPr/>
        <w:t>organs</w:t>
      </w:r>
      <w:r>
        <w:rPr>
          <w:spacing w:val="58"/>
        </w:rPr>
        <w:t> </w:t>
      </w:r>
      <w:r>
        <w:rPr/>
        <w:t>were</w:t>
      </w:r>
      <w:r>
        <w:rPr>
          <w:spacing w:val="58"/>
        </w:rPr>
        <w:t> </w:t>
      </w:r>
      <w:r>
        <w:rPr/>
        <w:t>unremarkable</w:t>
      </w:r>
      <w:r>
        <w:rPr>
          <w:spacing w:val="58"/>
        </w:rPr>
        <w:t> </w:t>
      </w:r>
      <w:r>
        <w:rPr/>
        <w:t>on</w:t>
      </w:r>
      <w:r>
        <w:rPr>
          <w:spacing w:val="58"/>
        </w:rPr>
        <w:t> </w:t>
      </w:r>
      <w:r>
        <w:rPr>
          <w:spacing w:val="-2"/>
        </w:rPr>
        <w:t>macroscopic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880"/>
          <w:pgMar w:header="912" w:footer="0" w:top="360" w:bottom="280" w:left="708" w:right="708"/>
          <w:cols w:num="2" w:equalWidth="0">
            <w:col w:w="5128" w:space="132"/>
            <w:col w:w="5234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910" w:h="15880"/>
          <w:pgMar w:header="912" w:footer="0" w:top="1100" w:bottom="280" w:left="708" w:right="708"/>
        </w:sectPr>
      </w:pPr>
    </w:p>
    <w:p>
      <w:pPr>
        <w:pStyle w:val="BodyText"/>
        <w:spacing w:line="252" w:lineRule="auto" w:before="72"/>
        <w:ind w:left="142" w:right="38"/>
        <w:jc w:val="both"/>
      </w:pPr>
      <w:bookmarkStart w:name="2.2 Assay of respiratory chain complex e" w:id="16"/>
      <w:bookmarkEnd w:id="16"/>
      <w:r>
        <w:rPr/>
      </w:r>
      <w:bookmarkStart w:name="2.3 Analysis of quantitative polymerase " w:id="17"/>
      <w:bookmarkEnd w:id="17"/>
      <w:r>
        <w:rPr/>
      </w:r>
      <w:r>
        <w:rPr/>
        <w:t>examination. The brain weighed 760</w:t>
      </w:r>
      <w:r>
        <w:rPr>
          <w:spacing w:val="-13"/>
        </w:rPr>
        <w:t> </w:t>
      </w:r>
      <w:r>
        <w:rPr/>
        <w:t>g and </w:t>
      </w:r>
      <w:r>
        <w:rPr/>
        <w:t>showed massive edema and caudal necrosis. Microscopically, hepatocytes and adrenal cortical cells were swollen, and renal tubular cells contained phospholipids and diﬀuse</w:t>
      </w:r>
      <w:r>
        <w:rPr>
          <w:spacing w:val="-2"/>
        </w:rPr>
        <w:t> </w:t>
      </w:r>
      <w:r>
        <w:rPr/>
        <w:t>foam</w:t>
      </w:r>
      <w:r>
        <w:rPr>
          <w:spacing w:val="-2"/>
        </w:rPr>
        <w:t> </w:t>
      </w:r>
      <w:r>
        <w:rPr/>
        <w:t>cells.</w:t>
      </w:r>
      <w:r>
        <w:rPr>
          <w:spacing w:val="-2"/>
        </w:rPr>
        <w:t> </w:t>
      </w:r>
      <w:r>
        <w:rPr/>
        <w:t>Similar</w:t>
      </w:r>
      <w:r>
        <w:rPr>
          <w:spacing w:val="-3"/>
        </w:rPr>
        <w:t> </w:t>
      </w:r>
      <w:r>
        <w:rPr/>
        <w:t>foam</w:t>
      </w:r>
      <w:r>
        <w:rPr>
          <w:spacing w:val="-2"/>
        </w:rPr>
        <w:t> </w:t>
      </w:r>
      <w:r>
        <w:rPr/>
        <w:t>cells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seen</w:t>
      </w:r>
      <w:r>
        <w:rPr>
          <w:spacing w:val="-3"/>
        </w:rPr>
        <w:t> </w:t>
      </w:r>
      <w:r>
        <w:rPr/>
        <w:t>in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lungs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cardiac</w:t>
      </w:r>
      <w:r>
        <w:rPr>
          <w:spacing w:val="-8"/>
        </w:rPr>
        <w:t> </w:t>
      </w:r>
      <w:r>
        <w:rPr>
          <w:spacing w:val="-2"/>
        </w:rPr>
        <w:t>muscle</w:t>
      </w:r>
      <w:r>
        <w:rPr>
          <w:spacing w:val="-8"/>
        </w:rPr>
        <w:t> </w:t>
      </w:r>
      <w:r>
        <w:rPr>
          <w:spacing w:val="-2"/>
        </w:rPr>
        <w:t>ﬁbers.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liver,</w:t>
      </w:r>
      <w:r>
        <w:rPr>
          <w:spacing w:val="-8"/>
        </w:rPr>
        <w:t> </w:t>
      </w:r>
      <w:r>
        <w:rPr>
          <w:spacing w:val="-2"/>
        </w:rPr>
        <w:t>hepatic </w:t>
      </w:r>
      <w:r>
        <w:rPr>
          <w:spacing w:val="-4"/>
        </w:rPr>
        <w:t>ﬁbrosis, microvesicular steatosis, and fatty degeneration </w:t>
      </w:r>
      <w:r>
        <w:rPr/>
        <w:t>were</w:t>
      </w:r>
      <w:r>
        <w:rPr>
          <w:spacing w:val="-12"/>
        </w:rPr>
        <w:t> </w:t>
      </w:r>
      <w:r>
        <w:rPr/>
        <w:t>observed</w:t>
      </w:r>
      <w:r>
        <w:rPr>
          <w:spacing w:val="-12"/>
        </w:rPr>
        <w:t> </w:t>
      </w:r>
      <w:r>
        <w:rPr/>
        <w:t>(</w:t>
      </w:r>
      <w:hyperlink w:history="true" w:anchor="_bookmark11">
        <w:r>
          <w:rPr>
            <w:color w:val="007FAD"/>
          </w:rPr>
          <w:t>Fig.</w:t>
        </w:r>
        <w:r>
          <w:rPr>
            <w:color w:val="007FAD"/>
            <w:spacing w:val="-11"/>
          </w:rPr>
          <w:t> </w:t>
        </w:r>
        <w:r>
          <w:rPr>
            <w:color w:val="007FAD"/>
          </w:rPr>
          <w:t>1</w:t>
        </w:r>
      </w:hyperlink>
      <w:r>
        <w:rPr/>
        <w:t>).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central</w:t>
      </w:r>
      <w:r>
        <w:rPr>
          <w:spacing w:val="-12"/>
        </w:rPr>
        <w:t> </w:t>
      </w:r>
      <w:r>
        <w:rPr/>
        <w:t>nervous</w:t>
      </w:r>
      <w:r>
        <w:rPr>
          <w:spacing w:val="-11"/>
        </w:rPr>
        <w:t> </w:t>
      </w:r>
      <w:r>
        <w:rPr/>
        <w:t>system,</w:t>
      </w:r>
      <w:r>
        <w:rPr>
          <w:spacing w:val="-10"/>
        </w:rPr>
        <w:t> </w:t>
      </w:r>
      <w:r>
        <w:rPr/>
        <w:t>a </w:t>
      </w:r>
      <w:r>
        <w:rPr>
          <w:spacing w:val="-2"/>
        </w:rPr>
        <w:t>spongy</w:t>
      </w:r>
      <w:r>
        <w:rPr>
          <w:spacing w:val="-11"/>
        </w:rPr>
        <w:t> </w:t>
      </w:r>
      <w:r>
        <w:rPr>
          <w:spacing w:val="-2"/>
        </w:rPr>
        <w:t>change</w:t>
      </w:r>
      <w:r>
        <w:rPr>
          <w:spacing w:val="-10"/>
        </w:rPr>
        <w:t> </w:t>
      </w:r>
      <w:r>
        <w:rPr>
          <w:spacing w:val="-2"/>
        </w:rPr>
        <w:t>was</w:t>
      </w:r>
      <w:r>
        <w:rPr>
          <w:spacing w:val="-10"/>
        </w:rPr>
        <w:t> </w:t>
      </w:r>
      <w:r>
        <w:rPr>
          <w:spacing w:val="-2"/>
        </w:rPr>
        <w:t>noted</w:t>
      </w:r>
      <w:r>
        <w:rPr>
          <w:spacing w:val="-10"/>
        </w:rPr>
        <w:t> </w:t>
      </w:r>
      <w:r>
        <w:rPr>
          <w:spacing w:val="-2"/>
        </w:rPr>
        <w:t>predominantly</w:t>
      </w:r>
      <w:r>
        <w:rPr>
          <w:spacing w:val="-10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cerebral </w:t>
      </w:r>
      <w:r>
        <w:rPr/>
        <w:t>white matter, and neuronal loss in the cerebral and cerebellar cortex was mild. Alzheimer type II glia was </w:t>
      </w:r>
      <w:r>
        <w:rPr>
          <w:spacing w:val="-6"/>
        </w:rPr>
        <w:t>observed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massive</w:t>
      </w:r>
      <w:r>
        <w:rPr>
          <w:spacing w:val="-4"/>
        </w:rPr>
        <w:t> </w:t>
      </w:r>
      <w:r>
        <w:rPr>
          <w:spacing w:val="-6"/>
        </w:rPr>
        <w:t>numbers in</w:t>
      </w:r>
      <w:r>
        <w:rPr>
          <w:spacing w:val="-4"/>
        </w:rPr>
        <w:t> </w:t>
      </w:r>
      <w:r>
        <w:rPr>
          <w:spacing w:val="-6"/>
        </w:rPr>
        <w:t>the</w:t>
      </w:r>
      <w:r>
        <w:rPr>
          <w:spacing w:val="-4"/>
        </w:rPr>
        <w:t> </w:t>
      </w:r>
      <w:r>
        <w:rPr>
          <w:spacing w:val="-6"/>
        </w:rPr>
        <w:t>cerebral and cerebel- </w:t>
      </w:r>
      <w:r>
        <w:rPr/>
        <w:t>lar</w:t>
      </w:r>
      <w:r>
        <w:rPr>
          <w:spacing w:val="-10"/>
        </w:rPr>
        <w:t> </w:t>
      </w:r>
      <w:r>
        <w:rPr/>
        <w:t>white</w:t>
      </w:r>
      <w:r>
        <w:rPr>
          <w:spacing w:val="-8"/>
        </w:rPr>
        <w:t> </w:t>
      </w:r>
      <w:r>
        <w:rPr/>
        <w:t>matter,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smaller</w:t>
      </w:r>
      <w:r>
        <w:rPr>
          <w:spacing w:val="-9"/>
        </w:rPr>
        <w:t> </w:t>
      </w:r>
      <w:r>
        <w:rPr/>
        <w:t>amount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cerebral cortex and deep gray matter. Neuronal loss, capillary proliferation, and sponginess were prominent in the substantia nigra (</w:t>
      </w:r>
      <w:hyperlink w:history="true" w:anchor="_bookmark12">
        <w:r>
          <w:rPr>
            <w:color w:val="007FAD"/>
          </w:rPr>
          <w:t>Fig. 2</w:t>
        </w:r>
      </w:hyperlink>
      <w:r>
        <w:rPr/>
        <w:t>). Recent linear necrosis was present in the bilateral caudate nucleus.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"/>
        </w:numPr>
        <w:tabs>
          <w:tab w:pos="498" w:val="left" w:leader="none"/>
        </w:tabs>
        <w:spacing w:line="249" w:lineRule="auto" w:before="1" w:after="0"/>
        <w:ind w:left="142" w:right="38" w:firstLine="2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Assay of respiratory chain complex enzyme activity </w:t>
      </w:r>
      <w:r>
        <w:rPr>
          <w:rFonts w:ascii="Times New Roman"/>
          <w:i/>
          <w:sz w:val="20"/>
        </w:rPr>
        <w:t>in the liver</w:t>
      </w:r>
    </w:p>
    <w:p>
      <w:pPr>
        <w:pStyle w:val="BodyText"/>
        <w:spacing w:before="12"/>
        <w:rPr>
          <w:rFonts w:ascii="Times New Roman"/>
          <w:i/>
        </w:rPr>
      </w:pPr>
    </w:p>
    <w:p>
      <w:pPr>
        <w:pStyle w:val="BodyText"/>
        <w:spacing w:line="252" w:lineRule="auto"/>
        <w:ind w:left="142" w:right="38" w:firstLine="241"/>
        <w:jc w:val="both"/>
      </w:pPr>
      <w:r>
        <w:rPr>
          <w:spacing w:val="-4"/>
        </w:rPr>
        <w:t>The</w:t>
      </w:r>
      <w:r>
        <w:rPr>
          <w:spacing w:val="-7"/>
        </w:rPr>
        <w:t> </w:t>
      </w:r>
      <w:r>
        <w:rPr>
          <w:spacing w:val="-4"/>
        </w:rPr>
        <w:t>liver</w:t>
      </w:r>
      <w:r>
        <w:rPr>
          <w:spacing w:val="-7"/>
        </w:rPr>
        <w:t> </w:t>
      </w:r>
      <w:r>
        <w:rPr>
          <w:spacing w:val="-4"/>
        </w:rPr>
        <w:t>samples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8"/>
        </w:rPr>
        <w:t> </w:t>
      </w:r>
      <w:r>
        <w:rPr>
          <w:spacing w:val="-4"/>
        </w:rPr>
        <w:t>immediately</w:t>
      </w:r>
      <w:r>
        <w:rPr>
          <w:spacing w:val="-7"/>
        </w:rPr>
        <w:t> </w:t>
      </w:r>
      <w:r>
        <w:rPr>
          <w:spacing w:val="-4"/>
        </w:rPr>
        <w:t>frozen</w:t>
      </w:r>
      <w:r>
        <w:rPr>
          <w:spacing w:val="-7"/>
        </w:rPr>
        <w:t> </w:t>
      </w:r>
      <w:r>
        <w:rPr>
          <w:spacing w:val="-4"/>
        </w:rPr>
        <w:t>at</w:t>
      </w:r>
      <w:r>
        <w:rPr>
          <w:spacing w:val="-7"/>
        </w:rPr>
        <w:t> </w:t>
      </w:r>
      <w:r>
        <w:rPr>
          <w:spacing w:val="-4"/>
        </w:rPr>
        <w:t>autopsy </w:t>
      </w:r>
      <w:r>
        <w:rPr/>
        <w:t>and</w:t>
      </w:r>
      <w:r>
        <w:rPr>
          <w:spacing w:val="-3"/>
        </w:rPr>
        <w:t> </w:t>
      </w:r>
      <w:r>
        <w:rPr/>
        <w:t>stored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>
          <w:rFonts w:ascii="Arial" w:hAnsi="Arial"/>
          <w:w w:val="200"/>
        </w:rPr>
        <w:t>-</w:t>
      </w:r>
      <w:r>
        <w:rPr/>
        <w:t>70</w:t>
      </w:r>
      <w:r>
        <w:rPr>
          <w:spacing w:val="-4"/>
        </w:rPr>
        <w:t> </w:t>
      </w:r>
      <w:r>
        <w:rPr>
          <w:rFonts w:ascii="Times New Roman" w:hAnsi="Times New Roman"/>
        </w:rPr>
        <w:t>°</w:t>
      </w:r>
      <w:r>
        <w:rPr/>
        <w:t>C.</w:t>
      </w:r>
      <w:r>
        <w:rPr>
          <w:spacing w:val="-2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RCC</w:t>
      </w:r>
      <w:r>
        <w:rPr>
          <w:spacing w:val="-3"/>
        </w:rPr>
        <w:t> </w:t>
      </w:r>
      <w:r>
        <w:rPr/>
        <w:t>I,</w:t>
      </w:r>
      <w:r>
        <w:rPr>
          <w:spacing w:val="-3"/>
        </w:rPr>
        <w:t> </w:t>
      </w:r>
      <w:r>
        <w:rPr/>
        <w:t>II,</w:t>
      </w:r>
      <w:r>
        <w:rPr>
          <w:spacing w:val="-1"/>
        </w:rPr>
        <w:t> </w:t>
      </w:r>
      <w:r>
        <w:rPr/>
        <w:t>III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IV </w:t>
      </w:r>
      <w:r>
        <w:rPr>
          <w:spacing w:val="-4"/>
        </w:rPr>
        <w:t>were assayed as described previously </w:t>
      </w:r>
      <w:hyperlink w:history="true" w:anchor="_bookmark16">
        <w:r>
          <w:rPr>
            <w:color w:val="007FAD"/>
            <w:spacing w:val="-4"/>
          </w:rPr>
          <w:t>[6,7]</w:t>
        </w:r>
      </w:hyperlink>
      <w:r>
        <w:rPr>
          <w:spacing w:val="-4"/>
        </w:rPr>
        <w:t>. The percent- </w:t>
      </w:r>
      <w:r>
        <w:rPr/>
        <w:t>ages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RCC</w:t>
      </w:r>
      <w:r>
        <w:rPr>
          <w:spacing w:val="-5"/>
        </w:rPr>
        <w:t> </w:t>
      </w:r>
      <w:r>
        <w:rPr/>
        <w:t>I,</w:t>
      </w:r>
      <w:r>
        <w:rPr>
          <w:spacing w:val="-6"/>
        </w:rPr>
        <w:t> </w:t>
      </w:r>
      <w:r>
        <w:rPr/>
        <w:t>II,</w:t>
      </w:r>
      <w:r>
        <w:rPr>
          <w:spacing w:val="-6"/>
        </w:rPr>
        <w:t> </w:t>
      </w:r>
      <w:r>
        <w:rPr/>
        <w:t>III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IV</w:t>
      </w:r>
      <w:r>
        <w:rPr>
          <w:spacing w:val="-6"/>
        </w:rPr>
        <w:t> </w:t>
      </w:r>
      <w:r>
        <w:rPr/>
        <w:t>activities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of </w:t>
      </w:r>
      <w:r>
        <w:rPr>
          <w:spacing w:val="-2"/>
        </w:rPr>
        <w:t>citrate</w:t>
      </w:r>
      <w:r>
        <w:rPr>
          <w:spacing w:val="-11"/>
        </w:rPr>
        <w:t> </w:t>
      </w:r>
      <w:r>
        <w:rPr>
          <w:spacing w:val="-2"/>
        </w:rPr>
        <w:t>synthase</w:t>
      </w:r>
      <w:r>
        <w:rPr>
          <w:spacing w:val="-10"/>
        </w:rPr>
        <w:t> </w:t>
      </w:r>
      <w:r>
        <w:rPr>
          <w:spacing w:val="-2"/>
        </w:rPr>
        <w:t>(CS)</w:t>
      </w:r>
      <w:r>
        <w:rPr>
          <w:spacing w:val="-10"/>
        </w:rPr>
        <w:t> </w:t>
      </w:r>
      <w:r>
        <w:rPr>
          <w:spacing w:val="-2"/>
        </w:rPr>
        <w:t>as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mitochondrial</w:t>
      </w:r>
      <w:r>
        <w:rPr>
          <w:spacing w:val="-9"/>
        </w:rPr>
        <w:t> </w:t>
      </w:r>
      <w:r>
        <w:rPr>
          <w:spacing w:val="-2"/>
        </w:rPr>
        <w:t>enzyme</w:t>
      </w:r>
      <w:r>
        <w:rPr>
          <w:spacing w:val="-9"/>
        </w:rPr>
        <w:t> </w:t>
      </w:r>
      <w:r>
        <w:rPr>
          <w:spacing w:val="-2"/>
        </w:rPr>
        <w:t>marker</w:t>
      </w:r>
    </w:p>
    <w:p>
      <w:pPr>
        <w:pStyle w:val="BodyText"/>
        <w:spacing w:line="252" w:lineRule="auto" w:before="72"/>
        <w:ind w:left="142" w:right="303"/>
        <w:jc w:val="both"/>
      </w:pPr>
      <w:r>
        <w:rPr/>
        <w:br w:type="column"/>
      </w:r>
      <w:r>
        <w:rPr/>
        <w:t>were calculated. Relative enzyme activities of RCC I, III, and IV to CS in the liver were reduced to </w:t>
      </w:r>
      <w:r>
        <w:rPr/>
        <w:t>0%,</w:t>
      </w:r>
      <w:r>
        <w:rPr>
          <w:spacing w:val="80"/>
        </w:rPr>
        <w:t> </w:t>
      </w:r>
      <w:r>
        <w:rPr/>
        <w:t>10%,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14%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normal</w:t>
      </w:r>
      <w:r>
        <w:rPr>
          <w:spacing w:val="-12"/>
        </w:rPr>
        <w:t> </w:t>
      </w:r>
      <w:r>
        <w:rPr/>
        <w:t>values,</w:t>
      </w:r>
      <w:r>
        <w:rPr>
          <w:spacing w:val="-12"/>
        </w:rPr>
        <w:t> </w:t>
      </w:r>
      <w:r>
        <w:rPr/>
        <w:t>respectively,</w:t>
      </w:r>
      <w:r>
        <w:rPr>
          <w:spacing w:val="-12"/>
        </w:rPr>
        <w:t> </w:t>
      </w:r>
      <w:r>
        <w:rPr/>
        <w:t>while</w:t>
      </w:r>
      <w:r>
        <w:rPr>
          <w:spacing w:val="-12"/>
        </w:rPr>
        <w:t> </w:t>
      </w:r>
      <w:r>
        <w:rPr/>
        <w:t>that of RCC II was reduced to 29%.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"/>
        </w:numPr>
        <w:tabs>
          <w:tab w:pos="509" w:val="left" w:leader="none"/>
        </w:tabs>
        <w:spacing w:line="249" w:lineRule="auto" w:before="1" w:after="0"/>
        <w:ind w:left="142" w:right="303" w:firstLine="2"/>
        <w:jc w:val="left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Analysis of quantitative polymerase chain reaction </w:t>
      </w:r>
      <w:r>
        <w:rPr>
          <w:rFonts w:ascii="Times New Roman"/>
          <w:i/>
          <w:sz w:val="20"/>
        </w:rPr>
        <w:t>of mtDNA</w:t>
      </w:r>
      <w:r>
        <w:rPr>
          <w:rFonts w:ascii="Times New Roman"/>
          <w:i/>
          <w:spacing w:val="40"/>
          <w:sz w:val="20"/>
        </w:rPr>
        <w:t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40"/>
          <w:sz w:val="20"/>
        </w:rPr>
        <w:t> </w:t>
      </w:r>
      <w:r>
        <w:rPr>
          <w:rFonts w:ascii="Times New Roman"/>
          <w:i/>
          <w:sz w:val="20"/>
        </w:rPr>
        <w:t>DNA</w:t>
      </w:r>
      <w:r>
        <w:rPr>
          <w:rFonts w:ascii="Times New Roman"/>
          <w:i/>
          <w:spacing w:val="40"/>
          <w:sz w:val="20"/>
        </w:rPr>
        <w:t> </w:t>
      </w:r>
      <w:r>
        <w:rPr>
          <w:rFonts w:ascii="Times New Roman"/>
          <w:i/>
          <w:sz w:val="20"/>
        </w:rPr>
        <w:t>sequence</w:t>
      </w:r>
      <w:r>
        <w:rPr>
          <w:rFonts w:ascii="Times New Roman"/>
          <w:i/>
          <w:spacing w:val="40"/>
          <w:sz w:val="20"/>
        </w:rPr>
        <w:t> </w:t>
      </w:r>
      <w:r>
        <w:rPr>
          <w:rFonts w:ascii="Times New Roman"/>
          <w:i/>
          <w:sz w:val="20"/>
        </w:rPr>
        <w:t>of</w:t>
      </w:r>
      <w:r>
        <w:rPr>
          <w:rFonts w:ascii="Times New Roman"/>
          <w:i/>
          <w:spacing w:val="40"/>
          <w:sz w:val="20"/>
        </w:rPr>
        <w:t> </w:t>
      </w:r>
      <w:r>
        <w:rPr>
          <w:rFonts w:ascii="Times New Roman"/>
          <w:i/>
          <w:sz w:val="20"/>
        </w:rPr>
        <w:t>POLG</w:t>
      </w:r>
      <w:r>
        <w:rPr>
          <w:rFonts w:ascii="Times New Roman"/>
          <w:i/>
          <w:spacing w:val="40"/>
          <w:sz w:val="20"/>
        </w:rPr>
        <w:t> </w:t>
      </w:r>
      <w:r>
        <w:rPr>
          <w:rFonts w:ascii="Times New Roman"/>
          <w:i/>
          <w:sz w:val="20"/>
        </w:rPr>
        <w:t>gene</w:t>
      </w:r>
    </w:p>
    <w:p>
      <w:pPr>
        <w:pStyle w:val="BodyText"/>
        <w:spacing w:before="11"/>
        <w:rPr>
          <w:rFonts w:ascii="Times New Roman"/>
          <w:i/>
        </w:rPr>
      </w:pPr>
    </w:p>
    <w:p>
      <w:pPr>
        <w:pStyle w:val="BodyText"/>
        <w:spacing w:line="252" w:lineRule="auto"/>
        <w:ind w:left="142" w:right="302" w:firstLine="241"/>
        <w:jc w:val="both"/>
      </w:pPr>
      <w:r>
        <w:rPr/>
        <w:t>Written informed consent was obtained from </w:t>
      </w:r>
      <w:r>
        <w:rPr/>
        <w:t>the patient’s parents in order to perform gene analysis. The</w:t>
      </w:r>
      <w:r>
        <w:rPr>
          <w:spacing w:val="-2"/>
        </w:rPr>
        <w:t> </w:t>
      </w:r>
      <w:r>
        <w:rPr/>
        <w:t>quantitative</w:t>
      </w:r>
      <w:r>
        <w:rPr>
          <w:spacing w:val="-2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mtDNA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performed by real-time ampliﬁcation of fragments of </w:t>
      </w:r>
      <w:r>
        <w:rPr>
          <w:rFonts w:ascii="Times New Roman" w:hAnsi="Times New Roman"/>
          <w:i/>
        </w:rPr>
        <w:t>ND1 </w:t>
      </w:r>
      <w:r>
        <w:rPr/>
        <w:t>in the </w:t>
      </w:r>
      <w:r>
        <w:rPr>
          <w:spacing w:val="-4"/>
        </w:rPr>
        <w:t>mtDNA</w:t>
      </w:r>
      <w:r>
        <w:rPr>
          <w:spacing w:val="-5"/>
        </w:rPr>
        <w:t> </w:t>
      </w:r>
      <w:r>
        <w:rPr>
          <w:spacing w:val="-4"/>
        </w:rPr>
        <w:t>genome, as</w:t>
      </w:r>
      <w:r>
        <w:rPr>
          <w:spacing w:val="-5"/>
        </w:rPr>
        <w:t> </w:t>
      </w:r>
      <w:r>
        <w:rPr>
          <w:spacing w:val="-4"/>
        </w:rPr>
        <w:t>previously described</w:t>
      </w:r>
      <w:r>
        <w:rPr>
          <w:spacing w:val="-6"/>
        </w:rPr>
        <w:t> </w:t>
      </w:r>
      <w:hyperlink w:history="true" w:anchor="_bookmark16">
        <w:r>
          <w:rPr>
            <w:color w:val="007FAD"/>
            <w:spacing w:val="-4"/>
          </w:rPr>
          <w:t>[7,8]</w:t>
        </w:r>
      </w:hyperlink>
      <w:r>
        <w:rPr>
          <w:spacing w:val="-4"/>
        </w:rPr>
        <w:t>.</w:t>
      </w:r>
      <w:r>
        <w:rPr>
          <w:spacing w:val="-5"/>
        </w:rPr>
        <w:t> </w:t>
      </w:r>
      <w:r>
        <w:rPr>
          <w:spacing w:val="-4"/>
        </w:rPr>
        <w:t>To</w:t>
      </w:r>
      <w:r>
        <w:rPr>
          <w:spacing w:val="-5"/>
        </w:rPr>
        <w:t> </w:t>
      </w:r>
      <w:r>
        <w:rPr>
          <w:spacing w:val="-4"/>
        </w:rPr>
        <w:t>deter- </w:t>
      </w:r>
      <w:r>
        <w:rPr/>
        <w:t>mine the overall abundance of mtDNA, we compared the real-time ampliﬁcation of </w:t>
      </w:r>
      <w:r>
        <w:rPr>
          <w:rFonts w:ascii="Times New Roman" w:hAnsi="Times New Roman"/>
          <w:i/>
        </w:rPr>
        <w:t>ND1 </w:t>
      </w:r>
      <w:r>
        <w:rPr/>
        <w:t>with a single-copy nuclear reference gene (exon 24 of the </w:t>
      </w:r>
      <w:r>
        <w:rPr>
          <w:rFonts w:ascii="Times New Roman" w:hAnsi="Times New Roman"/>
          <w:i/>
        </w:rPr>
        <w:t>CFTR </w:t>
      </w:r>
      <w:r>
        <w:rPr/>
        <w:t>gene) </w:t>
      </w:r>
      <w:hyperlink w:history="true" w:anchor="_bookmark16">
        <w:r>
          <w:rPr>
            <w:color w:val="007FAD"/>
          </w:rPr>
          <w:t>[7,9]</w:t>
        </w:r>
      </w:hyperlink>
      <w:r>
        <w:rPr/>
        <w:t>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ratio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>
          <w:rFonts w:ascii="Times New Roman" w:hAnsi="Times New Roman"/>
          <w:i/>
        </w:rPr>
        <w:t>ND1</w:t>
      </w:r>
      <w:r>
        <w:rPr>
          <w:rFonts w:ascii="Times New Roman" w:hAnsi="Times New Roman"/>
          <w:i/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>
          <w:rFonts w:ascii="Times New Roman" w:hAnsi="Times New Roman"/>
          <w:i/>
        </w:rPr>
        <w:t>CFTR</w:t>
      </w:r>
      <w:r>
        <w:rPr>
          <w:rFonts w:ascii="Times New Roman" w:hAnsi="Times New Roman"/>
          <w:i/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liver</w:t>
      </w:r>
      <w:r>
        <w:rPr>
          <w:spacing w:val="-11"/>
        </w:rPr>
        <w:t> </w:t>
      </w:r>
      <w:r>
        <w:rPr/>
        <w:t>was</w:t>
      </w:r>
      <w:r>
        <w:rPr>
          <w:spacing w:val="-12"/>
        </w:rPr>
        <w:t> </w:t>
      </w:r>
      <w:r>
        <w:rPr/>
        <w:t>reduced to 3.3% (SD, 1.2%) as compared to the control.</w:t>
      </w:r>
    </w:p>
    <w:p>
      <w:pPr>
        <w:pStyle w:val="BodyText"/>
        <w:spacing w:line="252" w:lineRule="auto"/>
        <w:ind w:left="142" w:right="302" w:firstLine="241"/>
        <w:jc w:val="both"/>
      </w:pPr>
      <w:r>
        <w:rPr/>
        <w:t>Mutation analysis was performed on the </w:t>
      </w:r>
      <w:r>
        <w:rPr/>
        <w:t>genomic DNA using primers designed to amplify the coding exons and the exon-intron boundaries of </w:t>
      </w:r>
      <w:r>
        <w:rPr>
          <w:rFonts w:ascii="Times New Roman"/>
          <w:i/>
        </w:rPr>
        <w:t>POLG </w:t>
      </w:r>
      <w:r>
        <w:rPr/>
        <w:t>(NM_002693.2). Fragments were analyzed by direct sequencing using ABI 3130XL (Applied Biosystems, </w:t>
      </w:r>
      <w:r>
        <w:rPr>
          <w:spacing w:val="-2"/>
        </w:rPr>
        <w:t>Tokyo,</w:t>
      </w:r>
      <w:r>
        <w:rPr>
          <w:spacing w:val="-11"/>
        </w:rPr>
        <w:t> </w:t>
      </w:r>
      <w:r>
        <w:rPr>
          <w:spacing w:val="-2"/>
        </w:rPr>
        <w:t>Japan).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genetic</w:t>
      </w:r>
      <w:r>
        <w:rPr>
          <w:spacing w:val="-10"/>
        </w:rPr>
        <w:t> </w:t>
      </w:r>
      <w:r>
        <w:rPr>
          <w:spacing w:val="-2"/>
        </w:rPr>
        <w:t>analysis</w:t>
      </w:r>
      <w:r>
        <w:rPr>
          <w:spacing w:val="-10"/>
        </w:rPr>
        <w:t> </w:t>
      </w:r>
      <w:r>
        <w:rPr>
          <w:spacing w:val="-2"/>
        </w:rPr>
        <w:t>revealed</w:t>
      </w:r>
      <w:r>
        <w:rPr>
          <w:spacing w:val="-10"/>
        </w:rPr>
        <w:t> </w:t>
      </w:r>
      <w:r>
        <w:rPr>
          <w:spacing w:val="-2"/>
        </w:rPr>
        <w:t>compound heterozygous</w:t>
      </w:r>
      <w:r>
        <w:rPr>
          <w:spacing w:val="-8"/>
        </w:rPr>
        <w:t> </w:t>
      </w:r>
      <w:r>
        <w:rPr>
          <w:spacing w:val="-2"/>
        </w:rPr>
        <w:t>mutations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rFonts w:ascii="Times New Roman"/>
          <w:i/>
          <w:spacing w:val="-2"/>
        </w:rPr>
        <w:t>POLG</w:t>
      </w:r>
      <w:r>
        <w:rPr>
          <w:rFonts w:ascii="Times New Roman"/>
          <w:i/>
          <w:spacing w:val="-9"/>
        </w:rPr>
        <w:t> </w:t>
      </w:r>
      <w:r>
        <w:rPr>
          <w:spacing w:val="-2"/>
        </w:rPr>
        <w:t>(c.2870C&gt;T,</w:t>
      </w:r>
      <w:r>
        <w:rPr>
          <w:spacing w:val="-6"/>
        </w:rPr>
        <w:t> </w:t>
      </w:r>
      <w:r>
        <w:rPr>
          <w:spacing w:val="-2"/>
        </w:rPr>
        <w:t>p.A957V </w:t>
      </w:r>
      <w:r>
        <w:rPr/>
        <w:t>and</w:t>
      </w:r>
      <w:r>
        <w:rPr>
          <w:spacing w:val="43"/>
        </w:rPr>
        <w:t> </w:t>
      </w:r>
      <w:r>
        <w:rPr/>
        <w:t>c.3554T&gt;C,</w:t>
      </w:r>
      <w:r>
        <w:rPr>
          <w:spacing w:val="43"/>
        </w:rPr>
        <w:t> </w:t>
      </w:r>
      <w:r>
        <w:rPr/>
        <w:t>p.I1185T).</w:t>
      </w:r>
      <w:r>
        <w:rPr>
          <w:spacing w:val="46"/>
        </w:rPr>
        <w:t> </w:t>
      </w:r>
      <w:r>
        <w:rPr/>
        <w:t>The</w:t>
      </w:r>
      <w:r>
        <w:rPr>
          <w:spacing w:val="43"/>
        </w:rPr>
        <w:t> </w:t>
      </w:r>
      <w:r>
        <w:rPr/>
        <w:t>two</w:t>
      </w:r>
      <w:r>
        <w:rPr>
          <w:spacing w:val="44"/>
        </w:rPr>
        <w:t> </w:t>
      </w:r>
      <w:r>
        <w:rPr/>
        <w:t>DNA</w:t>
      </w:r>
      <w:r>
        <w:rPr>
          <w:spacing w:val="44"/>
        </w:rPr>
        <w:t> </w:t>
      </w:r>
      <w:r>
        <w:rPr>
          <w:spacing w:val="-2"/>
        </w:rPr>
        <w:t>mutations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880"/>
          <w:pgMar w:header="912" w:footer="0" w:top="360" w:bottom="280" w:left="708" w:right="708"/>
          <w:cols w:num="2" w:equalWidth="0">
            <w:col w:w="4965" w:space="295"/>
            <w:col w:w="5234"/>
          </w:cols>
        </w:sectPr>
      </w:pPr>
    </w:p>
    <w:p>
      <w:pPr>
        <w:pStyle w:val="BodyText"/>
        <w:spacing w:before="145"/>
      </w:pPr>
    </w:p>
    <w:p>
      <w:pPr>
        <w:spacing w:line="240" w:lineRule="auto"/>
        <w:ind w:left="1786" w:right="0" w:firstLine="0"/>
        <w:jc w:val="left"/>
        <w:rPr>
          <w:position w:val="4"/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138045" cy="17049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2138045" cy="1704975"/>
                          <a:chExt cx="2138045" cy="1704975"/>
                        </a:xfrm>
                      </wpg:grpSpPr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651" cy="17048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box 20"/>
                        <wps:cNvSpPr txBox="1"/>
                        <wps:spPr>
                          <a:xfrm>
                            <a:off x="88092" y="41972"/>
                            <a:ext cx="11493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bookmarkStart w:name="_bookmark11" w:id="18"/>
                              <w:bookmarkEnd w:id="18"/>
                              <w:r>
                                <w:rPr/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8.35pt;height:134.25pt;mso-position-horizontal-relative:char;mso-position-vertical-relative:line" id="docshapegroup18" coordorigin="0,0" coordsize="3367,2685">
                <v:shape style="position:absolute;left:0;top:0;width:3367;height:2685" type="#_x0000_t75" id="docshape19" stroked="false">
                  <v:imagedata r:id="rId16" o:title=""/>
                </v:shape>
                <v:shape style="position:absolute;left:138;top:66;width:181;height:327" type="#_x0000_t202" id="docshape20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bookmarkStart w:name="_bookmark11" w:id="19"/>
                        <w:bookmarkEnd w:id="19"/>
                        <w:r>
                          <w:rPr/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47"/>
          <w:sz w:val="20"/>
        </w:rPr>
        <w:t> </w:t>
      </w:r>
      <w:r>
        <w:rPr>
          <w:spacing w:val="47"/>
          <w:position w:val="4"/>
          <w:sz w:val="20"/>
        </w:rPr>
        <mc:AlternateContent>
          <mc:Choice Requires="wps">
            <w:drawing>
              <wp:inline distT="0" distB="0" distL="0" distR="0">
                <wp:extent cx="2114550" cy="1691005"/>
                <wp:effectExtent l="0" t="0" r="0" b="4444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2114550" cy="1691005"/>
                          <a:chExt cx="2114550" cy="1691005"/>
                        </a:xfrm>
                      </wpg:grpSpPr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219" cy="16906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8672" y="292436"/>
                            <a:ext cx="170624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8420" y="142741"/>
                            <a:ext cx="114109" cy="172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344" y="702341"/>
                            <a:ext cx="114109" cy="172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9583" y="865079"/>
                            <a:ext cx="114122" cy="1728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280" y="1052137"/>
                            <a:ext cx="172872" cy="114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49336" y="28563"/>
                            <a:ext cx="11493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5pt;height:133.15pt;mso-position-horizontal-relative:char;mso-position-vertical-relative:line" id="docshapegroup21" coordorigin="0,0" coordsize="3330,2663">
                <v:shape style="position:absolute;left:0;top:0;width:3330;height:2663" type="#_x0000_t75" id="docshape22" stroked="false">
                  <v:imagedata r:id="rId17" o:title=""/>
                </v:shape>
                <v:shape style="position:absolute;left:1919;top:460;width:269;height:183" type="#_x0000_t75" id="docshape23" stroked="false">
                  <v:imagedata r:id="rId18" o:title=""/>
                </v:shape>
                <v:shape style="position:absolute;left:2422;top:224;width:180;height:273" type="#_x0000_t75" id="docshape24" stroked="false">
                  <v:imagedata r:id="rId19" o:title=""/>
                </v:shape>
                <v:shape style="position:absolute;left:1537;top:1106;width:180;height:273" type="#_x0000_t75" id="docshape25" stroked="false">
                  <v:imagedata r:id="rId20" o:title=""/>
                </v:shape>
                <v:shape style="position:absolute;left:2991;top:1362;width:180;height:273" type="#_x0000_t75" id="docshape26" stroked="false">
                  <v:imagedata r:id="rId21" o:title=""/>
                </v:shape>
                <v:shape style="position:absolute;left:1458;top:1656;width:273;height:181" type="#_x0000_t75" id="docshape27" stroked="false">
                  <v:imagedata r:id="rId22" o:title=""/>
                </v:shape>
                <v:shape style="position:absolute;left:77;top:44;width:181;height:327" type="#_x0000_t202" id="docshape28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47"/>
          <w:position w:val="4"/>
          <w:sz w:val="20"/>
        </w:rPr>
      </w:r>
    </w:p>
    <w:p>
      <w:pPr>
        <w:pStyle w:val="BodyText"/>
        <w:spacing w:before="9"/>
        <w:rPr>
          <w:sz w:val="4"/>
        </w:rPr>
      </w:pPr>
    </w:p>
    <w:p>
      <w:pPr>
        <w:spacing w:line="240" w:lineRule="auto"/>
        <w:ind w:left="1786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092960" cy="1674495"/>
                <wp:effectExtent l="0" t="0" r="0" b="1905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2092960" cy="1674495"/>
                          <a:chExt cx="2092960" cy="1674495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947" cy="16743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349" y="656532"/>
                            <a:ext cx="172885" cy="1145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3924" y="1172495"/>
                            <a:ext cx="172885" cy="1145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375" y="492563"/>
                            <a:ext cx="119278" cy="1707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88066" y="35206"/>
                            <a:ext cx="123189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4.8pt;height:131.85pt;mso-position-horizontal-relative:char;mso-position-vertical-relative:line" id="docshapegroup29" coordorigin="0,0" coordsize="3296,2637">
                <v:shape style="position:absolute;left:0;top:0;width:3296;height:2637" type="#_x0000_t75" id="docshape30" stroked="false">
                  <v:imagedata r:id="rId23" o:title=""/>
                </v:shape>
                <v:shape style="position:absolute;left:2400;top:1033;width:273;height:181" type="#_x0000_t75" id="docshape31" stroked="false">
                  <v:imagedata r:id="rId24" o:title=""/>
                </v:shape>
                <v:shape style="position:absolute;left:2888;top:1846;width:273;height:181" type="#_x0000_t75" id="docshape32" stroked="false">
                  <v:imagedata r:id="rId25" o:title=""/>
                </v:shape>
                <v:shape style="position:absolute;left:1206;top:775;width:188;height:269" type="#_x0000_t75" id="docshape33" stroked="false">
                  <v:imagedata r:id="rId26" o:title=""/>
                </v:shape>
                <v:shape style="position:absolute;left:138;top:55;width:194;height:327" type="#_x0000_t202" id="docshape34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17"/>
          <w:sz w:val="20"/>
        </w:rPr>
        <w:t> </w:t>
      </w:r>
      <w:r>
        <w:rPr>
          <w:spacing w:val="117"/>
          <w:sz w:val="20"/>
        </w:rPr>
        <mc:AlternateContent>
          <mc:Choice Requires="wps">
            <w:drawing>
              <wp:inline distT="0" distB="0" distL="0" distR="0">
                <wp:extent cx="2114550" cy="1690370"/>
                <wp:effectExtent l="0" t="0" r="0" b="508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114550" cy="1690370"/>
                          <a:chExt cx="2114550" cy="169037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219" cy="16902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665" y="955890"/>
                            <a:ext cx="128295" cy="1292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786" y="911110"/>
                            <a:ext cx="126631" cy="1235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675" y="325475"/>
                            <a:ext cx="126923" cy="127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5393" y="156692"/>
                            <a:ext cx="133604" cy="134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855" y="53505"/>
                            <a:ext cx="133591" cy="1340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5495" y="958926"/>
                            <a:ext cx="127774" cy="1269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613" y="321170"/>
                            <a:ext cx="125361" cy="1233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0463" y="1014907"/>
                            <a:ext cx="125793" cy="122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175" y="1074864"/>
                            <a:ext cx="133146" cy="133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9236" y="731824"/>
                            <a:ext cx="135127" cy="1452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box 47"/>
                        <wps:cNvSpPr txBox="1"/>
                        <wps:spPr>
                          <a:xfrm>
                            <a:off x="91703" y="35302"/>
                            <a:ext cx="123189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6.5pt;height:133.1pt;mso-position-horizontal-relative:char;mso-position-vertical-relative:line" id="docshapegroup35" coordorigin="0,0" coordsize="3330,2662">
                <v:shape style="position:absolute;left:0;top:0;width:3330;height:2662" type="#_x0000_t75" id="docshape36" stroked="false">
                  <v:imagedata r:id="rId27" o:title=""/>
                </v:shape>
                <v:shape style="position:absolute;left:185;top:1505;width:203;height:204" type="#_x0000_t75" id="docshape37" stroked="false">
                  <v:imagedata r:id="rId28" o:title=""/>
                </v:shape>
                <v:shape style="position:absolute;left:1503;top:1434;width:200;height:195" type="#_x0000_t75" id="docshape38" stroked="false">
                  <v:imagedata r:id="rId29" o:title=""/>
                </v:shape>
                <v:shape style="position:absolute;left:1668;top:512;width:200;height:202" type="#_x0000_t75" id="docshape39" stroked="false">
                  <v:imagedata r:id="rId30" o:title=""/>
                </v:shape>
                <v:shape style="position:absolute;left:1236;top:246;width:211;height:212" type="#_x0000_t75" id="docshape40" stroked="false">
                  <v:imagedata r:id="rId31" o:title=""/>
                </v:shape>
                <v:shape style="position:absolute;left:858;top:84;width:211;height:212" type="#_x0000_t75" id="docshape41" stroked="false">
                  <v:imagedata r:id="rId32" o:title=""/>
                </v:shape>
                <v:shape style="position:absolute;left:685;top:1510;width:202;height:200" type="#_x0000_t75" id="docshape42" stroked="false">
                  <v:imagedata r:id="rId33" o:title=""/>
                </v:shape>
                <v:shape style="position:absolute;left:2645;top:505;width:198;height:195" type="#_x0000_t75" id="docshape43" stroked="false">
                  <v:imagedata r:id="rId34" o:title=""/>
                </v:shape>
                <v:shape style="position:absolute;left:2725;top:1598;width:199;height:194" type="#_x0000_t75" id="docshape44" stroked="false">
                  <v:imagedata r:id="rId35" o:title=""/>
                </v:shape>
                <v:shape style="position:absolute;left:1968;top:1692;width:210;height:211" type="#_x0000_t75" id="docshape45" stroked="false">
                  <v:imagedata r:id="rId36" o:title=""/>
                </v:shape>
                <v:shape style="position:absolute;left:2943;top:1152;width:213;height:229" type="#_x0000_t75" id="docshape46" stroked="false">
                  <v:imagedata r:id="rId37" o:title=""/>
                </v:shape>
                <v:shape style="position:absolute;left:144;top:55;width:194;height:327" type="#_x0000_t202" id="docshape47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17"/>
          <w:sz w:val="20"/>
        </w:rPr>
      </w:r>
    </w:p>
    <w:p>
      <w:pPr>
        <w:spacing w:line="259" w:lineRule="auto" w:before="152"/>
        <w:ind w:left="142" w:right="302" w:firstLine="1"/>
        <w:jc w:val="both"/>
        <w:rPr>
          <w:sz w:val="16"/>
        </w:rPr>
      </w:pPr>
      <w:r>
        <w:rPr>
          <w:sz w:val="16"/>
        </w:rPr>
        <w:t>Fig. 1. Pathological ﬁndings of the postmortem liver (A–C: hematoxylin &amp; eosin staining, D: Masson trichrome staining). (A) Moderate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inﬂammatory cell inﬁltration (inset) with destroyed limiting plates and a rather progressive ﬁbrosis with bridging formation in the portal tracts were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observed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(original magniﬁcation,</w:t>
      </w:r>
      <w:r>
        <w:rPr>
          <w:spacing w:val="-3"/>
          <w:sz w:val="16"/>
        </w:rPr>
        <w:t> </w:t>
      </w:r>
      <w:r>
        <w:rPr>
          <w:rFonts w:ascii="Arial" w:hAnsi="Arial"/>
          <w:spacing w:val="-2"/>
          <w:sz w:val="16"/>
        </w:rPr>
        <w:t>x</w:t>
      </w:r>
      <w:r>
        <w:rPr>
          <w:spacing w:val="-2"/>
          <w:sz w:val="16"/>
        </w:rPr>
        <w:t>40).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(B)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Swollen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hepatocytes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containing lipid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droplets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 various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sizes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found.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Bile plugs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(white arrows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 B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and C) were noted in the cytoplasm of hepatocytes and dilated canaliculi (</w:t>
      </w:r>
      <w:r>
        <w:rPr>
          <w:rFonts w:ascii="Arial" w:hAnsi="Arial"/>
          <w:spacing w:val="-2"/>
          <w:sz w:val="16"/>
        </w:rPr>
        <w:t>x</w:t>
      </w:r>
      <w:r>
        <w:rPr>
          <w:spacing w:val="-2"/>
          <w:sz w:val="16"/>
        </w:rPr>
        <w:t>100). (C) Swollen hepatocytes containing lipid droplets of various sizes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found.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Bile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plugs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noted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cytoplasm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hepatocytes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</w:t>
      </w:r>
      <w:r>
        <w:rPr>
          <w:rFonts w:ascii="Arial" w:hAnsi="Arial"/>
          <w:spacing w:val="-2"/>
          <w:sz w:val="16"/>
        </w:rPr>
        <w:t>x</w:t>
      </w:r>
      <w:r>
        <w:rPr>
          <w:spacing w:val="-2"/>
          <w:sz w:val="16"/>
        </w:rPr>
        <w:t>400).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(D)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rather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progressive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ﬁbrosis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bridging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formation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(arrows)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portal tracts was found (</w:t>
      </w:r>
      <w:r>
        <w:rPr>
          <w:rFonts w:ascii="Arial" w:hAnsi="Arial"/>
          <w:sz w:val="16"/>
        </w:rPr>
        <w:t>x</w:t>
      </w:r>
      <w:r>
        <w:rPr>
          <w:sz w:val="16"/>
        </w:rPr>
        <w:t>40).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912" w:footer="0" w:top="360" w:bottom="280" w:left="708" w:right="708"/>
        </w:sectPr>
      </w:pPr>
    </w:p>
    <w:p>
      <w:pPr>
        <w:pStyle w:val="BodyText"/>
        <w:spacing w:before="62"/>
      </w:pPr>
    </w:p>
    <w:p>
      <w:pPr>
        <w:spacing w:line="240" w:lineRule="auto"/>
        <w:ind w:left="1948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097405" cy="1579245"/>
                <wp:effectExtent l="0" t="0" r="0" b="1905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097405" cy="1579245"/>
                          <a:chExt cx="2097405" cy="157924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011" cy="15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71742" y="13237"/>
                            <a:ext cx="11493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5.15pt;height:124.35pt;mso-position-horizontal-relative:char;mso-position-vertical-relative:line" id="docshapegroup48" coordorigin="0,0" coordsize="3303,2487">
                <v:shape style="position:absolute;left:0;top:0;width:3303;height:2487" type="#_x0000_t75" id="docshape49" stroked="false">
                  <v:imagedata r:id="rId38" o:title=""/>
                </v:shape>
                <v:shape style="position:absolute;left:112;top:20;width:181;height:327" type="#_x0000_t202" id="docshape50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spacing w:val="135"/>
          <w:sz w:val="20"/>
        </w:rPr>
        <mc:AlternateContent>
          <mc:Choice Requires="wps">
            <w:drawing>
              <wp:inline distT="0" distB="0" distL="0" distR="0">
                <wp:extent cx="2089150" cy="1572895"/>
                <wp:effectExtent l="0" t="0" r="0" b="8255"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2089150" cy="1572895"/>
                          <a:chExt cx="2089150" cy="1572895"/>
                        </a:xfrm>
                      </wpg:grpSpPr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8883" cy="1572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Textbox 53"/>
                        <wps:cNvSpPr txBox="1"/>
                        <wps:spPr>
                          <a:xfrm>
                            <a:off x="74477" y="20148"/>
                            <a:ext cx="11493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4.5pt;height:123.85pt;mso-position-horizontal-relative:char;mso-position-vertical-relative:line" id="docshapegroup51" coordorigin="0,0" coordsize="3290,2477">
                <v:shape style="position:absolute;left:0;top:0;width:3290;height:2477" type="#_x0000_t75" id="docshape52" stroked="false">
                  <v:imagedata r:id="rId39" o:title=""/>
                </v:shape>
                <v:shape style="position:absolute;left:117;top:31;width:181;height:327" type="#_x0000_t202" id="docshape53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pacing w:val="135"/>
          <w:sz w:val="20"/>
        </w:rPr>
      </w:r>
    </w:p>
    <w:p>
      <w:pPr>
        <w:pStyle w:val="BodyText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1687118</wp:posOffset>
                </wp:positionH>
                <wp:positionV relativeFrom="paragraph">
                  <wp:posOffset>58686</wp:posOffset>
                </wp:positionV>
                <wp:extent cx="2097405" cy="1579245"/>
                <wp:effectExtent l="0" t="0" r="0" b="0"/>
                <wp:wrapTopAndBottom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2097405" cy="1579245"/>
                          <a:chExt cx="2097405" cy="1579245"/>
                        </a:xfrm>
                      </wpg:grpSpPr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011" cy="15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91523" y="18768"/>
                            <a:ext cx="123189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843994pt;margin-top:4.621pt;width:165.15pt;height:124.35pt;mso-position-horizontal-relative:page;mso-position-vertical-relative:paragraph;z-index:-15722496;mso-wrap-distance-left:0;mso-wrap-distance-right:0" id="docshapegroup54" coordorigin="2657,92" coordsize="3303,2487">
                <v:shape style="position:absolute;left:2656;top:92;width:3303;height:2487" type="#_x0000_t75" id="docshape55" stroked="false">
                  <v:imagedata r:id="rId40" o:title=""/>
                </v:shape>
                <v:shape style="position:absolute;left:2801;top:121;width:194;height:327" type="#_x0000_t202" id="docshape56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3910291</wp:posOffset>
                </wp:positionH>
                <wp:positionV relativeFrom="paragraph">
                  <wp:posOffset>58686</wp:posOffset>
                </wp:positionV>
                <wp:extent cx="2096770" cy="1579245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2096770" cy="1579245"/>
                          <a:chExt cx="2096770" cy="1579245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6668" cy="15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92137" y="34633"/>
                            <a:ext cx="123189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7.897003pt;margin-top:4.621pt;width:165.1pt;height:124.35pt;mso-position-horizontal-relative:page;mso-position-vertical-relative:paragraph;z-index:-15721984;mso-wrap-distance-left:0;mso-wrap-distance-right:0" id="docshapegroup57" coordorigin="6158,92" coordsize="3302,2487">
                <v:shape style="position:absolute;left:6157;top:92;width:3302;height:2487" type="#_x0000_t75" id="docshape58" stroked="false">
                  <v:imagedata r:id="rId41" o:title=""/>
                </v:shape>
                <v:shape style="position:absolute;left:6303;top:146;width:194;height:327" type="#_x0000_t202" id="docshape59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1687118</wp:posOffset>
                </wp:positionH>
                <wp:positionV relativeFrom="paragraph">
                  <wp:posOffset>1725485</wp:posOffset>
                </wp:positionV>
                <wp:extent cx="2097405" cy="1579245"/>
                <wp:effectExtent l="0" t="0" r="0" b="0"/>
                <wp:wrapTopAndBottom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2097405" cy="1579245"/>
                          <a:chExt cx="2097405" cy="1579245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011" cy="15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Textbox 62"/>
                        <wps:cNvSpPr txBox="1"/>
                        <wps:spPr>
                          <a:xfrm>
                            <a:off x="103898" y="9747"/>
                            <a:ext cx="11493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bookmarkStart w:name="_bookmark12" w:id="20"/>
                              <w:bookmarkEnd w:id="20"/>
                              <w:r>
                                <w:rPr/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843994pt;margin-top:135.865005pt;width:165.15pt;height:124.35pt;mso-position-horizontal-relative:page;mso-position-vertical-relative:paragraph;z-index:-15721472;mso-wrap-distance-left:0;mso-wrap-distance-right:0" id="docshapegroup60" coordorigin="2657,2717" coordsize="3303,2487">
                <v:shape style="position:absolute;left:2656;top:2717;width:3303;height:2487" type="#_x0000_t75" id="docshape61" stroked="false">
                  <v:imagedata r:id="rId42" o:title=""/>
                </v:shape>
                <v:shape style="position:absolute;left:2820;top:2732;width:181;height:327" type="#_x0000_t202" id="docshape62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bookmarkStart w:name="_bookmark12" w:id="21"/>
                        <w:bookmarkEnd w:id="21"/>
                        <w:r>
                          <w:rPr/>
                        </w: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3920451</wp:posOffset>
                </wp:positionH>
                <wp:positionV relativeFrom="paragraph">
                  <wp:posOffset>1725510</wp:posOffset>
                </wp:positionV>
                <wp:extent cx="2086610" cy="1572895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086610" cy="1572895"/>
                          <a:chExt cx="2086610" cy="157289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508" cy="1572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Textbox 65"/>
                        <wps:cNvSpPr txBox="1"/>
                        <wps:spPr>
                          <a:xfrm>
                            <a:off x="61578" y="25377"/>
                            <a:ext cx="10604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696991pt;margin-top:135.867004pt;width:164.3pt;height:123.85pt;mso-position-horizontal-relative:page;mso-position-vertical-relative:paragraph;z-index:-15720960;mso-wrap-distance-left:0;mso-wrap-distance-right:0" id="docshapegroup63" coordorigin="6174,2717" coordsize="3286,2477">
                <v:shape style="position:absolute;left:6173;top:2717;width:3286;height:2477" type="#_x0000_t75" id="docshape64" stroked="false">
                  <v:imagedata r:id="rId43" o:title=""/>
                </v:shape>
                <v:shape style="position:absolute;left:6270;top:2757;width:167;height:327" type="#_x0000_t202" id="docshape65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1687118</wp:posOffset>
                </wp:positionH>
                <wp:positionV relativeFrom="paragraph">
                  <wp:posOffset>3413607</wp:posOffset>
                </wp:positionV>
                <wp:extent cx="2097405" cy="1579245"/>
                <wp:effectExtent l="0" t="0" r="0" b="0"/>
                <wp:wrapTopAndBottom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2097405" cy="1579245"/>
                          <a:chExt cx="2097405" cy="157924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011" cy="15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Textbox 68"/>
                        <wps:cNvSpPr txBox="1"/>
                        <wps:spPr>
                          <a:xfrm>
                            <a:off x="103951" y="4415"/>
                            <a:ext cx="131445" cy="2076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24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843994pt;margin-top:268.787994pt;width:165.15pt;height:124.35pt;mso-position-horizontal-relative:page;mso-position-vertical-relative:paragraph;z-index:-15720448;mso-wrap-distance-left:0;mso-wrap-distance-right:0" id="docshapegroup66" coordorigin="2657,5376" coordsize="3303,2487">
                <v:shape style="position:absolute;left:2656;top:5375;width:3303;height:2487" type="#_x0000_t75" id="docshape67" stroked="false">
                  <v:imagedata r:id="rId44" o:title=""/>
                </v:shape>
                <v:shape style="position:absolute;left:2820;top:5382;width:207;height:327" type="#_x0000_t202" id="docshape68" filled="false" stroked="false">
                  <v:textbox inset="0,0,0,0">
                    <w:txbxContent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24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24"/>
                          </w:rPr>
                          <w:t>G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0"/>
        </w:rPr>
      </w:pPr>
    </w:p>
    <w:p>
      <w:pPr>
        <w:pStyle w:val="BodyText"/>
        <w:rPr>
          <w:sz w:val="13"/>
        </w:rPr>
      </w:pPr>
    </w:p>
    <w:p>
      <w:pPr>
        <w:spacing w:line="261" w:lineRule="auto" w:before="162"/>
        <w:ind w:left="304" w:right="139" w:firstLine="2"/>
        <w:jc w:val="both"/>
        <w:rPr>
          <w:sz w:val="16"/>
        </w:rPr>
      </w:pPr>
      <w:r>
        <w:rPr>
          <w:sz w:val="16"/>
        </w:rPr>
        <w:t>Fig.</w:t>
      </w:r>
      <w:r>
        <w:rPr>
          <w:spacing w:val="-6"/>
          <w:sz w:val="16"/>
        </w:rPr>
        <w:t> </w:t>
      </w:r>
      <w:r>
        <w:rPr>
          <w:sz w:val="16"/>
        </w:rPr>
        <w:t>2.</w:t>
      </w:r>
      <w:r>
        <w:rPr>
          <w:spacing w:val="15"/>
          <w:sz w:val="16"/>
        </w:rPr>
        <w:t> </w:t>
      </w:r>
      <w:r>
        <w:rPr>
          <w:sz w:val="16"/>
        </w:rPr>
        <w:t>Pathological</w:t>
      </w:r>
      <w:r>
        <w:rPr>
          <w:spacing w:val="-5"/>
          <w:sz w:val="16"/>
        </w:rPr>
        <w:t> </w:t>
      </w:r>
      <w:r>
        <w:rPr>
          <w:sz w:val="16"/>
        </w:rPr>
        <w:t>ﬁndings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postmortem</w:t>
      </w:r>
      <w:r>
        <w:rPr>
          <w:spacing w:val="-7"/>
          <w:sz w:val="16"/>
        </w:rPr>
        <w:t> </w:t>
      </w:r>
      <w:r>
        <w:rPr>
          <w:sz w:val="16"/>
        </w:rPr>
        <w:t>brain</w:t>
      </w:r>
      <w:r>
        <w:rPr>
          <w:spacing w:val="-6"/>
          <w:sz w:val="16"/>
        </w:rPr>
        <w:t> </w:t>
      </w:r>
      <w:r>
        <w:rPr>
          <w:sz w:val="16"/>
        </w:rPr>
        <w:t>(A,</w:t>
      </w:r>
      <w:r>
        <w:rPr>
          <w:spacing w:val="-5"/>
          <w:sz w:val="16"/>
        </w:rPr>
        <w:t> </w:t>
      </w:r>
      <w:r>
        <w:rPr>
          <w:sz w:val="16"/>
        </w:rPr>
        <w:t>C,</w:t>
      </w:r>
      <w:r>
        <w:rPr>
          <w:spacing w:val="-5"/>
          <w:sz w:val="16"/>
        </w:rPr>
        <w:t> </w:t>
      </w:r>
      <w:r>
        <w:rPr>
          <w:sz w:val="16"/>
        </w:rPr>
        <w:t>E,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G:</w:t>
      </w:r>
      <w:r>
        <w:rPr>
          <w:spacing w:val="-5"/>
          <w:sz w:val="16"/>
        </w:rPr>
        <w:t> </w:t>
      </w:r>
      <w:r>
        <w:rPr>
          <w:sz w:val="16"/>
        </w:rPr>
        <w:t>hematoxylin</w:t>
      </w:r>
      <w:r>
        <w:rPr>
          <w:spacing w:val="-5"/>
          <w:sz w:val="16"/>
        </w:rPr>
        <w:t> </w:t>
      </w:r>
      <w:r>
        <w:rPr>
          <w:sz w:val="16"/>
        </w:rPr>
        <w:t>&amp;</w:t>
      </w:r>
      <w:r>
        <w:rPr>
          <w:spacing w:val="-5"/>
          <w:sz w:val="16"/>
        </w:rPr>
        <w:t> </w:t>
      </w:r>
      <w:r>
        <w:rPr>
          <w:sz w:val="16"/>
        </w:rPr>
        <w:t>eosin</w:t>
      </w:r>
      <w:r>
        <w:rPr>
          <w:spacing w:val="-6"/>
          <w:sz w:val="16"/>
        </w:rPr>
        <w:t> </w:t>
      </w:r>
      <w:r>
        <w:rPr>
          <w:sz w:val="16"/>
        </w:rPr>
        <w:t>staining;</w:t>
      </w:r>
      <w:r>
        <w:rPr>
          <w:spacing w:val="-6"/>
          <w:sz w:val="16"/>
        </w:rPr>
        <w:t> </w:t>
      </w:r>
      <w:r>
        <w:rPr>
          <w:sz w:val="16"/>
        </w:rPr>
        <w:t>B,</w:t>
      </w:r>
      <w:r>
        <w:rPr>
          <w:spacing w:val="-6"/>
          <w:sz w:val="16"/>
        </w:rPr>
        <w:t> </w:t>
      </w:r>
      <w:r>
        <w:rPr>
          <w:sz w:val="16"/>
        </w:rPr>
        <w:t>D,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F:</w:t>
      </w:r>
      <w:r>
        <w:rPr>
          <w:spacing w:val="-6"/>
          <w:sz w:val="16"/>
        </w:rPr>
        <w:t> </w:t>
      </w:r>
      <w:r>
        <w:rPr>
          <w:sz w:val="16"/>
        </w:rPr>
        <w:t>immunohistochemical</w:t>
      </w:r>
      <w:r>
        <w:rPr>
          <w:spacing w:val="-6"/>
          <w:sz w:val="16"/>
        </w:rPr>
        <w:t> </w:t>
      </w:r>
      <w:r>
        <w:rPr>
          <w:sz w:val="16"/>
        </w:rPr>
        <w:t>staining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against glial ﬁbrillary acidic protein; original magniﬁcation, </w:t>
      </w:r>
      <w:r>
        <w:rPr>
          <w:rFonts w:ascii="Arial" w:hAnsi="Arial"/>
          <w:spacing w:val="-4"/>
          <w:sz w:val="16"/>
        </w:rPr>
        <w:t>x</w:t>
      </w:r>
      <w:r>
        <w:rPr>
          <w:spacing w:val="-4"/>
          <w:sz w:val="16"/>
        </w:rPr>
        <w:t>400). Marked spongy changes (A) with Alzheimer type II astrocytosis (B) was observed</w:t>
      </w:r>
      <w:r>
        <w:rPr>
          <w:spacing w:val="80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cerebral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white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matter,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less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prominently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cerebral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cortex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(C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D)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striatum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(E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F).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Neuronal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loss,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sponginess,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capillary</w:t>
      </w:r>
      <w:r>
        <w:rPr>
          <w:spacing w:val="40"/>
          <w:sz w:val="16"/>
        </w:rPr>
        <w:t> </w:t>
      </w:r>
      <w:r>
        <w:rPr>
          <w:sz w:val="16"/>
        </w:rPr>
        <w:t>proliferation,</w:t>
      </w:r>
      <w:r>
        <w:rPr>
          <w:spacing w:val="-1"/>
          <w:sz w:val="16"/>
        </w:rPr>
        <w:t> </w:t>
      </w:r>
      <w:r>
        <w:rPr>
          <w:sz w:val="16"/>
        </w:rPr>
        <w:t>which were</w:t>
      </w:r>
      <w:r>
        <w:rPr>
          <w:spacing w:val="-1"/>
          <w:sz w:val="16"/>
        </w:rPr>
        <w:t> </w:t>
      </w:r>
      <w:r>
        <w:rPr>
          <w:sz w:val="16"/>
        </w:rPr>
        <w:t>reminiscent</w:t>
      </w:r>
      <w:r>
        <w:rPr>
          <w:spacing w:val="-1"/>
          <w:sz w:val="16"/>
        </w:rPr>
        <w:t> </w:t>
      </w:r>
      <w:r>
        <w:rPr>
          <w:sz w:val="16"/>
        </w:rPr>
        <w:t>of the</w:t>
      </w:r>
      <w:r>
        <w:rPr>
          <w:spacing w:val="-1"/>
          <w:sz w:val="16"/>
        </w:rPr>
        <w:t> </w:t>
      </w:r>
      <w:r>
        <w:rPr>
          <w:sz w:val="16"/>
        </w:rPr>
        <w:t>ﬁndings</w:t>
      </w:r>
      <w:r>
        <w:rPr>
          <w:spacing w:val="-1"/>
          <w:sz w:val="16"/>
        </w:rPr>
        <w:t> </w:t>
      </w:r>
      <w:r>
        <w:rPr>
          <w:sz w:val="16"/>
        </w:rPr>
        <w:t>of Leigh</w:t>
      </w:r>
      <w:r>
        <w:rPr>
          <w:spacing w:val="-1"/>
          <w:sz w:val="16"/>
        </w:rPr>
        <w:t> </w:t>
      </w:r>
      <w:r>
        <w:rPr>
          <w:sz w:val="16"/>
        </w:rPr>
        <w:t>syndrome,</w:t>
      </w:r>
      <w:r>
        <w:rPr>
          <w:spacing w:val="-1"/>
          <w:sz w:val="16"/>
        </w:rPr>
        <w:t> </w:t>
      </w:r>
      <w:r>
        <w:rPr>
          <w:sz w:val="16"/>
        </w:rPr>
        <w:t>were</w:t>
      </w:r>
      <w:r>
        <w:rPr>
          <w:spacing w:val="-1"/>
          <w:sz w:val="16"/>
        </w:rPr>
        <w:t> </w:t>
      </w:r>
      <w:r>
        <w:rPr>
          <w:sz w:val="16"/>
        </w:rPr>
        <w:t>noted</w:t>
      </w:r>
      <w:r>
        <w:rPr>
          <w:spacing w:val="-1"/>
          <w:sz w:val="16"/>
        </w:rPr>
        <w:t> </w:t>
      </w:r>
      <w:r>
        <w:rPr>
          <w:sz w:val="16"/>
        </w:rPr>
        <w:t>in the substantia nigra (G).</w:t>
      </w:r>
    </w:p>
    <w:p>
      <w:pPr>
        <w:pStyle w:val="BodyText"/>
        <w:spacing w:before="51"/>
      </w:pPr>
    </w:p>
    <w:p>
      <w:pPr>
        <w:pStyle w:val="BodyText"/>
        <w:spacing w:after="0"/>
        <w:sectPr>
          <w:pgSz w:w="11910" w:h="15880"/>
          <w:pgMar w:header="912" w:footer="0" w:top="1100" w:bottom="280" w:left="708" w:right="708"/>
        </w:sectPr>
      </w:pPr>
    </w:p>
    <w:p>
      <w:pPr>
        <w:pStyle w:val="BodyText"/>
        <w:spacing w:line="252" w:lineRule="auto" w:before="73"/>
        <w:ind w:left="304" w:right="38"/>
        <w:jc w:val="both"/>
        <w:rPr>
          <w:rFonts w:ascii="Times New Roman"/>
          <w:i/>
        </w:rPr>
      </w:pPr>
      <w:r>
        <w:rPr/>
        <w:t>were not registered in neither of the 1000 </w:t>
      </w:r>
      <w:r>
        <w:rPr/>
        <w:t>Genomes Project Database (</w:t>
      </w:r>
      <w:hyperlink r:id="rId45">
        <w:r>
          <w:rPr>
            <w:color w:val="007FAD"/>
          </w:rPr>
          <w:t>http://www.1000genomes.org/</w:t>
        </w:r>
      </w:hyperlink>
      <w:r>
        <w:rPr/>
        <w:t>), </w:t>
      </w:r>
      <w:r>
        <w:rPr>
          <w:spacing w:val="-6"/>
        </w:rPr>
        <w:t>ESP6500</w:t>
      </w:r>
      <w:r>
        <w:rPr/>
        <w:t> </w:t>
      </w:r>
      <w:r>
        <w:rPr>
          <w:spacing w:val="-6"/>
        </w:rPr>
        <w:t>database</w:t>
      </w:r>
      <w:r>
        <w:rPr>
          <w:spacing w:val="-6"/>
        </w:rPr>
        <w:t> (</w:t>
      </w:r>
      <w:hyperlink r:id="rId46">
        <w:r>
          <w:rPr>
            <w:color w:val="007FAD"/>
            <w:spacing w:val="-6"/>
          </w:rPr>
          <w:t>http://evs.gs.washington.edu/EVS/</w:t>
        </w:r>
      </w:hyperlink>
      <w:r>
        <w:rPr>
          <w:spacing w:val="-6"/>
        </w:rPr>
        <w:t>) </w:t>
      </w:r>
      <w:r>
        <w:rPr/>
        <w:t>or HGVD (</w:t>
      </w:r>
      <w:hyperlink r:id="rId47">
        <w:r>
          <w:rPr>
            <w:color w:val="007FAD"/>
          </w:rPr>
          <w:t>http://www.genome.med.kyoto-u.ac.jp/</w:t>
        </w:r>
      </w:hyperlink>
      <w:r>
        <w:rPr>
          <w:color w:val="007FAD"/>
        </w:rPr>
        <w:t> </w:t>
      </w:r>
      <w:hyperlink r:id="rId47">
        <w:r>
          <w:rPr>
            <w:color w:val="007FAD"/>
            <w:spacing w:val="-2"/>
          </w:rPr>
          <w:t>SnpDB/index.html</w:t>
        </w:r>
      </w:hyperlink>
      <w:r>
        <w:rPr>
          <w:spacing w:val="-2"/>
        </w:rPr>
        <w:t>).</w:t>
      </w:r>
      <w:r>
        <w:rPr>
          <w:spacing w:val="-11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amino</w:t>
      </w:r>
      <w:r>
        <w:rPr>
          <w:spacing w:val="-10"/>
        </w:rPr>
        <w:t> </w:t>
      </w:r>
      <w:r>
        <w:rPr>
          <w:spacing w:val="-2"/>
        </w:rPr>
        <w:t>acid</w:t>
      </w:r>
      <w:r>
        <w:rPr>
          <w:spacing w:val="-10"/>
        </w:rPr>
        <w:t> </w:t>
      </w:r>
      <w:r>
        <w:rPr>
          <w:spacing w:val="-2"/>
        </w:rPr>
        <w:t>sequences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these </w:t>
      </w:r>
      <w:r>
        <w:rPr/>
        <w:t>two sites (p.A957V and p.I1185T) are well conserved </w:t>
      </w:r>
      <w:r>
        <w:rPr>
          <w:spacing w:val="-2"/>
        </w:rPr>
        <w:t>across</w:t>
      </w:r>
      <w:r>
        <w:rPr>
          <w:spacing w:val="11"/>
        </w:rPr>
        <w:t> </w:t>
      </w:r>
      <w:r>
        <w:rPr>
          <w:spacing w:val="-2"/>
        </w:rPr>
        <w:t>species,</w:t>
      </w:r>
      <w:r>
        <w:rPr>
          <w:spacing w:val="10"/>
        </w:rPr>
        <w:t> </w:t>
      </w:r>
      <w:r>
        <w:rPr>
          <w:spacing w:val="-2"/>
        </w:rPr>
        <w:t>suggesting</w:t>
      </w:r>
      <w:r>
        <w:rPr>
          <w:spacing w:val="11"/>
        </w:rPr>
        <w:t> </w:t>
      </w:r>
      <w:r>
        <w:rPr>
          <w:spacing w:val="-2"/>
        </w:rPr>
        <w:t>their</w:t>
      </w:r>
      <w:r>
        <w:rPr>
          <w:spacing w:val="11"/>
        </w:rPr>
        <w:t> </w:t>
      </w:r>
      <w:r>
        <w:rPr>
          <w:spacing w:val="-2"/>
        </w:rPr>
        <w:t>importance</w:t>
      </w:r>
      <w:r>
        <w:rPr>
          <w:spacing w:val="11"/>
        </w:rPr>
        <w:t> </w:t>
      </w:r>
      <w:r>
        <w:rPr>
          <w:spacing w:val="-2"/>
        </w:rPr>
        <w:t>(</w:t>
      </w:r>
      <w:hyperlink w:history="true" w:anchor="_bookmark13">
        <w:r>
          <w:rPr>
            <w:color w:val="007FAD"/>
            <w:spacing w:val="-2"/>
          </w:rPr>
          <w:t>Fig.</w:t>
        </w:r>
        <w:r>
          <w:rPr>
            <w:color w:val="007FAD"/>
            <w:spacing w:val="11"/>
          </w:rPr>
          <w:t> </w:t>
        </w:r>
        <w:r>
          <w:rPr>
            <w:color w:val="007FAD"/>
            <w:spacing w:val="-2"/>
          </w:rPr>
          <w:t>3</w:t>
        </w:r>
      </w:hyperlink>
      <w:r>
        <w:rPr>
          <w:spacing w:val="-2"/>
        </w:rPr>
        <w:t>).</w:t>
      </w:r>
      <w:r>
        <w:rPr>
          <w:spacing w:val="11"/>
        </w:rPr>
        <w:t> </w:t>
      </w:r>
      <w:r>
        <w:rPr>
          <w:rFonts w:ascii="Times New Roman"/>
          <w:i/>
          <w:spacing w:val="-5"/>
        </w:rPr>
        <w:t>In</w:t>
      </w:r>
    </w:p>
    <w:p>
      <w:pPr>
        <w:pStyle w:val="BodyText"/>
        <w:spacing w:line="252" w:lineRule="auto" w:before="69"/>
        <w:ind w:left="304" w:right="140"/>
        <w:jc w:val="both"/>
      </w:pPr>
      <w:r>
        <w:rPr/>
        <w:br w:type="column"/>
      </w:r>
      <w:r>
        <w:rPr>
          <w:rFonts w:ascii="Times New Roman"/>
          <w:i/>
        </w:rPr>
        <w:t>silico </w:t>
      </w:r>
      <w:r>
        <w:rPr/>
        <w:t>analyses were performed using the </w:t>
      </w:r>
      <w:r>
        <w:rPr/>
        <w:t>prediction algorithms SIFT (</w:t>
      </w:r>
      <w:hyperlink r:id="rId48">
        <w:r>
          <w:rPr>
            <w:color w:val="007FAD"/>
          </w:rPr>
          <w:t>http://sift.jcvi.org</w:t>
        </w:r>
      </w:hyperlink>
      <w:r>
        <w:rPr/>
        <w:t>) and PolyPhen2 </w:t>
      </w:r>
      <w:r>
        <w:rPr>
          <w:spacing w:val="-2"/>
        </w:rPr>
        <w:t>(</w:t>
      </w:r>
      <w:hyperlink r:id="rId49">
        <w:r>
          <w:rPr>
            <w:color w:val="007FAD"/>
            <w:spacing w:val="-2"/>
          </w:rPr>
          <w:t>http://genetics.bwh.harvard.edu/pph2/</w:t>
        </w:r>
      </w:hyperlink>
      <w:r>
        <w:rPr>
          <w:spacing w:val="-2"/>
        </w:rPr>
        <w:t>).</w:t>
      </w:r>
      <w:r>
        <w:rPr>
          <w:spacing w:val="-11"/>
        </w:rPr>
        <w:t> </w:t>
      </w:r>
      <w:r>
        <w:rPr>
          <w:spacing w:val="-2"/>
        </w:rPr>
        <w:t>These</w:t>
      </w:r>
      <w:r>
        <w:rPr>
          <w:spacing w:val="-10"/>
        </w:rPr>
        <w:t> </w:t>
      </w:r>
      <w:r>
        <w:rPr>
          <w:spacing w:val="-2"/>
        </w:rPr>
        <w:t>muta- </w:t>
      </w:r>
      <w:r>
        <w:rPr/>
        <w:t>tions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predicted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deleterious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SIFT</w:t>
      </w:r>
      <w:r>
        <w:rPr>
          <w:spacing w:val="-1"/>
        </w:rPr>
        <w:t> </w:t>
      </w:r>
      <w:r>
        <w:rPr/>
        <w:t>(0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0, respectively) and PolyPhen2 (0.985 and 0.991, </w:t>
      </w:r>
      <w:r>
        <w:rPr>
          <w:spacing w:val="-2"/>
        </w:rPr>
        <w:t>respectively)</w:t>
      </w:r>
      <w:r>
        <w:rPr>
          <w:spacing w:val="-11"/>
        </w:rPr>
        <w:t> </w:t>
      </w:r>
      <w:r>
        <w:rPr>
          <w:spacing w:val="-2"/>
        </w:rPr>
        <w:t>programs.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results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mutation</w:t>
      </w:r>
      <w:r>
        <w:rPr>
          <w:spacing w:val="-10"/>
        </w:rPr>
        <w:t> </w:t>
      </w:r>
      <w:r>
        <w:rPr>
          <w:spacing w:val="-2"/>
        </w:rPr>
        <w:t>analysis </w:t>
      </w:r>
      <w:r>
        <w:rPr/>
        <w:t>have been reported previously (patient 6 in Ref. </w:t>
      </w:r>
      <w:hyperlink w:history="true" w:anchor="_bookmark16">
        <w:r>
          <w:rPr>
            <w:color w:val="007FAD"/>
          </w:rPr>
          <w:t>[9]</w:t>
        </w:r>
      </w:hyperlink>
      <w:r>
        <w:rPr/>
        <w:t>).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880"/>
          <w:pgMar w:header="912" w:footer="0" w:top="360" w:bottom="280" w:left="708" w:right="708"/>
          <w:cols w:num="2" w:equalWidth="0">
            <w:col w:w="5127" w:space="133"/>
            <w:col w:w="5234"/>
          </w:cols>
        </w:sectPr>
      </w:pPr>
    </w:p>
    <w:p>
      <w:pPr>
        <w:pStyle w:val="BodyText"/>
        <w:spacing w:before="62"/>
      </w:pPr>
    </w:p>
    <w:p>
      <w:pPr>
        <w:pStyle w:val="BodyText"/>
        <w:ind w:left="1824"/>
      </w:pPr>
      <w:r>
        <w:rPr/>
        <mc:AlternateContent>
          <mc:Choice Requires="wps">
            <w:drawing>
              <wp:inline distT="0" distB="0" distL="0" distR="0">
                <wp:extent cx="4095750" cy="1361440"/>
                <wp:effectExtent l="0" t="0" r="0" b="634"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4095750" cy="1361440"/>
                          <a:chExt cx="4095750" cy="136144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744"/>
                            <a:ext cx="4095497" cy="114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20605" y="2381"/>
                            <a:ext cx="226822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8220" h="182245">
                                <a:moveTo>
                                  <a:pt x="0" y="0"/>
                                </a:moveTo>
                                <a:lnTo>
                                  <a:pt x="2267635" y="0"/>
                                </a:lnTo>
                                <a:lnTo>
                                  <a:pt x="2267635" y="181800"/>
                                </a:lnTo>
                                <a:lnTo>
                                  <a:pt x="0" y="181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712" y="60051"/>
                            <a:ext cx="140766" cy="677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278" y="53689"/>
                            <a:ext cx="615861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843667" y="53688"/>
                            <a:ext cx="101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76200">
                                <a:moveTo>
                                  <a:pt x="17195" y="66154"/>
                                </a:moveTo>
                                <a:lnTo>
                                  <a:pt x="16433" y="64350"/>
                                </a:lnTo>
                                <a:lnTo>
                                  <a:pt x="13385" y="61442"/>
                                </a:lnTo>
                                <a:lnTo>
                                  <a:pt x="11277" y="60718"/>
                                </a:lnTo>
                                <a:lnTo>
                                  <a:pt x="5918" y="60718"/>
                                </a:lnTo>
                                <a:lnTo>
                                  <a:pt x="3822" y="61442"/>
                                </a:lnTo>
                                <a:lnTo>
                                  <a:pt x="762" y="64350"/>
                                </a:lnTo>
                                <a:lnTo>
                                  <a:pt x="0" y="66154"/>
                                </a:lnTo>
                                <a:lnTo>
                                  <a:pt x="0" y="70472"/>
                                </a:lnTo>
                                <a:lnTo>
                                  <a:pt x="762" y="72275"/>
                                </a:lnTo>
                                <a:lnTo>
                                  <a:pt x="3822" y="75184"/>
                                </a:lnTo>
                                <a:lnTo>
                                  <a:pt x="5918" y="75907"/>
                                </a:lnTo>
                                <a:lnTo>
                                  <a:pt x="11277" y="75907"/>
                                </a:lnTo>
                                <a:lnTo>
                                  <a:pt x="13385" y="75184"/>
                                </a:lnTo>
                                <a:lnTo>
                                  <a:pt x="16433" y="72275"/>
                                </a:lnTo>
                                <a:lnTo>
                                  <a:pt x="17195" y="70472"/>
                                </a:lnTo>
                                <a:lnTo>
                                  <a:pt x="17195" y="68313"/>
                                </a:lnTo>
                                <a:lnTo>
                                  <a:pt x="17195" y="66154"/>
                                </a:lnTo>
                                <a:close/>
                              </a:path>
                              <a:path w="101600" h="76200">
                                <a:moveTo>
                                  <a:pt x="101015" y="65798"/>
                                </a:moveTo>
                                <a:lnTo>
                                  <a:pt x="100495" y="63830"/>
                                </a:lnTo>
                                <a:lnTo>
                                  <a:pt x="98450" y="61531"/>
                                </a:lnTo>
                                <a:lnTo>
                                  <a:pt x="97066" y="60947"/>
                                </a:lnTo>
                                <a:lnTo>
                                  <a:pt x="94094" y="60947"/>
                                </a:lnTo>
                                <a:lnTo>
                                  <a:pt x="92786" y="61506"/>
                                </a:lnTo>
                                <a:lnTo>
                                  <a:pt x="91414" y="62623"/>
                                </a:lnTo>
                                <a:lnTo>
                                  <a:pt x="66357" y="62623"/>
                                </a:lnTo>
                                <a:lnTo>
                                  <a:pt x="97599" y="33934"/>
                                </a:lnTo>
                                <a:lnTo>
                                  <a:pt x="100901" y="25603"/>
                                </a:lnTo>
                                <a:lnTo>
                                  <a:pt x="100901" y="16230"/>
                                </a:lnTo>
                                <a:lnTo>
                                  <a:pt x="98590" y="10934"/>
                                </a:lnTo>
                                <a:lnTo>
                                  <a:pt x="89369" y="2197"/>
                                </a:lnTo>
                                <a:lnTo>
                                  <a:pt x="83451" y="0"/>
                                </a:lnTo>
                                <a:lnTo>
                                  <a:pt x="71589" y="0"/>
                                </a:lnTo>
                                <a:lnTo>
                                  <a:pt x="51181" y="17195"/>
                                </a:lnTo>
                                <a:lnTo>
                                  <a:pt x="51181" y="20916"/>
                                </a:lnTo>
                                <a:lnTo>
                                  <a:pt x="63309" y="18161"/>
                                </a:lnTo>
                                <a:lnTo>
                                  <a:pt x="64439" y="16281"/>
                                </a:lnTo>
                                <a:lnTo>
                                  <a:pt x="68567" y="12636"/>
                                </a:lnTo>
                                <a:lnTo>
                                  <a:pt x="71970" y="11442"/>
                                </a:lnTo>
                                <a:lnTo>
                                  <a:pt x="80124" y="11442"/>
                                </a:lnTo>
                                <a:lnTo>
                                  <a:pt x="83362" y="12522"/>
                                </a:lnTo>
                                <a:lnTo>
                                  <a:pt x="88239" y="16802"/>
                                </a:lnTo>
                                <a:lnTo>
                                  <a:pt x="89458" y="19253"/>
                                </a:lnTo>
                                <a:lnTo>
                                  <a:pt x="89458" y="24282"/>
                                </a:lnTo>
                                <a:lnTo>
                                  <a:pt x="48882" y="61950"/>
                                </a:lnTo>
                                <a:lnTo>
                                  <a:pt x="48882" y="74066"/>
                                </a:lnTo>
                                <a:lnTo>
                                  <a:pt x="101015" y="74066"/>
                                </a:lnTo>
                                <a:lnTo>
                                  <a:pt x="101015" y="65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4444" y="53701"/>
                            <a:ext cx="117309" cy="757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1565" y="53701"/>
                            <a:ext cx="257962" cy="7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1387544" y="112350"/>
                            <a:ext cx="2413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34290">
                                <a:moveTo>
                                  <a:pt x="23609" y="0"/>
                                </a:moveTo>
                                <a:lnTo>
                                  <a:pt x="8318" y="0"/>
                                </a:lnTo>
                                <a:lnTo>
                                  <a:pt x="393" y="28409"/>
                                </a:lnTo>
                                <a:lnTo>
                                  <a:pt x="0" y="30137"/>
                                </a:lnTo>
                                <a:lnTo>
                                  <a:pt x="0" y="31483"/>
                                </a:lnTo>
                                <a:lnTo>
                                  <a:pt x="342" y="32181"/>
                                </a:lnTo>
                                <a:lnTo>
                                  <a:pt x="1727" y="33451"/>
                                </a:lnTo>
                                <a:lnTo>
                                  <a:pt x="2552" y="33769"/>
                                </a:lnTo>
                                <a:lnTo>
                                  <a:pt x="4965" y="33769"/>
                                </a:lnTo>
                                <a:lnTo>
                                  <a:pt x="6184" y="32854"/>
                                </a:lnTo>
                                <a:lnTo>
                                  <a:pt x="23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0511" y="75584"/>
                            <a:ext cx="66408" cy="76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1595888" y="114407"/>
                            <a:ext cx="17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5240">
                                <a:moveTo>
                                  <a:pt x="11277" y="0"/>
                                </a:moveTo>
                                <a:lnTo>
                                  <a:pt x="5918" y="0"/>
                                </a:lnTo>
                                <a:lnTo>
                                  <a:pt x="3810" y="723"/>
                                </a:lnTo>
                                <a:lnTo>
                                  <a:pt x="762" y="3632"/>
                                </a:lnTo>
                                <a:lnTo>
                                  <a:pt x="0" y="5435"/>
                                </a:lnTo>
                                <a:lnTo>
                                  <a:pt x="0" y="9753"/>
                                </a:lnTo>
                                <a:lnTo>
                                  <a:pt x="762" y="11556"/>
                                </a:lnTo>
                                <a:lnTo>
                                  <a:pt x="3810" y="14465"/>
                                </a:lnTo>
                                <a:lnTo>
                                  <a:pt x="5918" y="15189"/>
                                </a:lnTo>
                                <a:lnTo>
                                  <a:pt x="11277" y="15189"/>
                                </a:lnTo>
                                <a:lnTo>
                                  <a:pt x="13373" y="14465"/>
                                </a:lnTo>
                                <a:lnTo>
                                  <a:pt x="16433" y="11556"/>
                                </a:lnTo>
                                <a:lnTo>
                                  <a:pt x="17195" y="9753"/>
                                </a:lnTo>
                                <a:lnTo>
                                  <a:pt x="17195" y="7594"/>
                                </a:lnTo>
                                <a:lnTo>
                                  <a:pt x="17195" y="5435"/>
                                </a:lnTo>
                                <a:lnTo>
                                  <a:pt x="16433" y="3632"/>
                                </a:lnTo>
                                <a:lnTo>
                                  <a:pt x="13373" y="723"/>
                                </a:lnTo>
                                <a:lnTo>
                                  <a:pt x="11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6081" y="53689"/>
                            <a:ext cx="345848" cy="757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22.5pt;height:107.2pt;mso-position-horizontal-relative:char;mso-position-vertical-relative:line" id="docshapegroup69" coordorigin="0,0" coordsize="6450,2144">
                <v:shape style="position:absolute;left:0;top:341;width:6450;height:1802" type="#_x0000_t75" id="docshape70" stroked="false">
                  <v:imagedata r:id="rId50" o:title=""/>
                </v:shape>
                <v:rect style="position:absolute;left:32;top:3;width:3572;height:287" id="docshape71" filled="false" stroked="true" strokeweight=".375pt" strokecolor="#000000">
                  <v:stroke dashstyle="solid"/>
                </v:rect>
                <v:shape style="position:absolute;left:101;top:94;width:222;height:107" type="#_x0000_t75" id="docshape72" stroked="false">
                  <v:imagedata r:id="rId51" o:title=""/>
                </v:shape>
                <v:shape style="position:absolute;left:312;top:84;width:970;height:171" type="#_x0000_t75" id="docshape73" stroked="false">
                  <v:imagedata r:id="rId52" o:title=""/>
                </v:shape>
                <v:shape style="position:absolute;left:1328;top:84;width:160;height:120" id="docshape74" coordorigin="1329,85" coordsize="160,120" path="m1356,189l1354,186,1350,181,1346,180,1338,180,1335,181,1330,186,1329,189,1329,196,1330,198,1335,203,1338,204,1346,204,1350,203,1354,198,1356,196,1356,192,1356,189xm1488,188l1487,185,1484,181,1481,181,1477,181,1475,181,1473,183,1433,183,1464,157,1477,144,1482,138,1486,129,1488,125,1488,110,1484,102,1469,88,1460,85,1441,85,1435,86,1422,92,1417,97,1411,107,1409,112,1409,117,1410,120,1414,123,1416,124,1420,124,1422,123,1425,121,1426,120,1428,113,1430,110,1437,104,1442,103,1455,103,1460,104,1468,111,1469,115,1469,123,1468,127,1464,130,1457,138,1445,149,1428,164,1406,182,1406,201,1488,201,1488,188xe" filled="true" fillcolor="#000000" stroked="false">
                  <v:path arrowok="t"/>
                  <v:fill type="solid"/>
                </v:shape>
                <v:shape style="position:absolute;left:1518;top:84;width:185;height:120" type="#_x0000_t75" id="docshape75" stroked="false">
                  <v:imagedata r:id="rId53" o:title=""/>
                </v:shape>
                <v:shape style="position:absolute;left:1734;top:84;width:407;height:120" type="#_x0000_t75" id="docshape76" stroked="false">
                  <v:imagedata r:id="rId54" o:title=""/>
                </v:shape>
                <v:shape style="position:absolute;left:2185;top:176;width:38;height:54" id="docshape77" coordorigin="2185,177" coordsize="38,54" path="m2222,177l2198,177,2186,222,2185,224,2185,227,2186,228,2188,230,2189,230,2193,230,2195,229,2222,177xe" filled="true" fillcolor="#000000" stroked="false">
                  <v:path arrowok="t"/>
                  <v:fill type="solid"/>
                </v:shape>
                <v:shape style="position:absolute;left:2363;top:119;width:105;height:120" type="#_x0000_t75" id="docshape78" stroked="false">
                  <v:imagedata r:id="rId55" o:title=""/>
                </v:shape>
                <v:shape style="position:absolute;left:2513;top:180;width:28;height:24" id="docshape79" coordorigin="2513,180" coordsize="28,24" path="m2531,180l2523,180,2519,181,2514,186,2513,189,2513,196,2514,198,2519,203,2523,204,2531,204,2534,203,2539,198,2540,196,2540,192,2540,189,2539,186,2534,181,2531,180xe" filled="true" fillcolor="#000000" stroked="false">
                  <v:path arrowok="t"/>
                  <v:fill type="solid"/>
                </v:shape>
                <v:shape style="position:absolute;left:2576;top:84;width:545;height:120" type="#_x0000_t75" id="docshape80" stroked="false">
                  <v:imagedata r:id="rId56" o:title="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6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1608080</wp:posOffset>
                </wp:positionH>
                <wp:positionV relativeFrom="paragraph">
                  <wp:posOffset>156381</wp:posOffset>
                </wp:positionV>
                <wp:extent cx="2327275" cy="186690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2327275" cy="186690"/>
                          <a:chExt cx="2327275" cy="18669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2381" y="2381"/>
                            <a:ext cx="2322195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2195" h="182245">
                                <a:moveTo>
                                  <a:pt x="0" y="0"/>
                                </a:moveTo>
                                <a:lnTo>
                                  <a:pt x="2322169" y="0"/>
                                </a:lnTo>
                                <a:lnTo>
                                  <a:pt x="2322169" y="181800"/>
                                </a:lnTo>
                                <a:lnTo>
                                  <a:pt x="0" y="181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8" y="60051"/>
                            <a:ext cx="140754" cy="676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041" y="53689"/>
                            <a:ext cx="615861" cy="1083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825442" y="114407"/>
                            <a:ext cx="17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5240">
                                <a:moveTo>
                                  <a:pt x="11264" y="0"/>
                                </a:moveTo>
                                <a:lnTo>
                                  <a:pt x="5905" y="0"/>
                                </a:lnTo>
                                <a:lnTo>
                                  <a:pt x="3810" y="723"/>
                                </a:lnTo>
                                <a:lnTo>
                                  <a:pt x="762" y="3632"/>
                                </a:lnTo>
                                <a:lnTo>
                                  <a:pt x="0" y="5435"/>
                                </a:lnTo>
                                <a:lnTo>
                                  <a:pt x="0" y="9753"/>
                                </a:lnTo>
                                <a:lnTo>
                                  <a:pt x="762" y="11556"/>
                                </a:lnTo>
                                <a:lnTo>
                                  <a:pt x="3810" y="14452"/>
                                </a:lnTo>
                                <a:lnTo>
                                  <a:pt x="5905" y="15176"/>
                                </a:lnTo>
                                <a:lnTo>
                                  <a:pt x="11264" y="15176"/>
                                </a:lnTo>
                                <a:lnTo>
                                  <a:pt x="13373" y="14452"/>
                                </a:lnTo>
                                <a:lnTo>
                                  <a:pt x="16421" y="11556"/>
                                </a:lnTo>
                                <a:lnTo>
                                  <a:pt x="17183" y="9753"/>
                                </a:lnTo>
                                <a:lnTo>
                                  <a:pt x="17183" y="7594"/>
                                </a:lnTo>
                                <a:lnTo>
                                  <a:pt x="17183" y="5435"/>
                                </a:lnTo>
                                <a:lnTo>
                                  <a:pt x="16421" y="3632"/>
                                </a:lnTo>
                                <a:lnTo>
                                  <a:pt x="13373" y="723"/>
                                </a:lnTo>
                                <a:lnTo>
                                  <a:pt x="11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709" y="53689"/>
                            <a:ext cx="466483" cy="7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1369307" y="112337"/>
                            <a:ext cx="2413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34290">
                                <a:moveTo>
                                  <a:pt x="23609" y="0"/>
                                </a:moveTo>
                                <a:lnTo>
                                  <a:pt x="8318" y="0"/>
                                </a:lnTo>
                                <a:lnTo>
                                  <a:pt x="139" y="29375"/>
                                </a:lnTo>
                                <a:lnTo>
                                  <a:pt x="0" y="30149"/>
                                </a:lnTo>
                                <a:lnTo>
                                  <a:pt x="0" y="31483"/>
                                </a:lnTo>
                                <a:lnTo>
                                  <a:pt x="342" y="32194"/>
                                </a:lnTo>
                                <a:lnTo>
                                  <a:pt x="1727" y="33451"/>
                                </a:lnTo>
                                <a:lnTo>
                                  <a:pt x="2552" y="33782"/>
                                </a:lnTo>
                                <a:lnTo>
                                  <a:pt x="4965" y="33782"/>
                                </a:lnTo>
                                <a:lnTo>
                                  <a:pt x="6184" y="32854"/>
                                </a:lnTo>
                                <a:lnTo>
                                  <a:pt x="23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2274" y="75558"/>
                            <a:ext cx="66408" cy="760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577651" y="114407"/>
                            <a:ext cx="17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5240">
                                <a:moveTo>
                                  <a:pt x="11277" y="0"/>
                                </a:moveTo>
                                <a:lnTo>
                                  <a:pt x="5918" y="0"/>
                                </a:lnTo>
                                <a:lnTo>
                                  <a:pt x="3810" y="723"/>
                                </a:lnTo>
                                <a:lnTo>
                                  <a:pt x="762" y="3632"/>
                                </a:lnTo>
                                <a:lnTo>
                                  <a:pt x="0" y="5435"/>
                                </a:lnTo>
                                <a:lnTo>
                                  <a:pt x="0" y="9753"/>
                                </a:lnTo>
                                <a:lnTo>
                                  <a:pt x="762" y="11556"/>
                                </a:lnTo>
                                <a:lnTo>
                                  <a:pt x="3810" y="14452"/>
                                </a:lnTo>
                                <a:lnTo>
                                  <a:pt x="5918" y="15176"/>
                                </a:lnTo>
                                <a:lnTo>
                                  <a:pt x="11277" y="15176"/>
                                </a:lnTo>
                                <a:lnTo>
                                  <a:pt x="13373" y="14452"/>
                                </a:lnTo>
                                <a:lnTo>
                                  <a:pt x="16433" y="11556"/>
                                </a:lnTo>
                                <a:lnTo>
                                  <a:pt x="17195" y="9753"/>
                                </a:lnTo>
                                <a:lnTo>
                                  <a:pt x="17195" y="7594"/>
                                </a:lnTo>
                                <a:lnTo>
                                  <a:pt x="17195" y="5435"/>
                                </a:lnTo>
                                <a:lnTo>
                                  <a:pt x="16433" y="3632"/>
                                </a:lnTo>
                                <a:lnTo>
                                  <a:pt x="13373" y="723"/>
                                </a:lnTo>
                                <a:lnTo>
                                  <a:pt x="11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9784" y="53689"/>
                            <a:ext cx="395135" cy="757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6.620499pt;margin-top:12.3135pt;width:183.25pt;height:14.7pt;mso-position-horizontal-relative:page;mso-position-vertical-relative:paragraph;z-index:-15719424;mso-wrap-distance-left:0;mso-wrap-distance-right:0" id="docshapegroup81" coordorigin="2532,246" coordsize="3665,294">
                <v:rect style="position:absolute;left:2536;top:250;width:3657;height:287" id="docshape82" filled="false" stroked="true" strokeweight=".375pt" strokecolor="#000000">
                  <v:stroke dashstyle="solid"/>
                </v:rect>
                <v:shape style="position:absolute;left:2605;top:340;width:222;height:107" type="#_x0000_t75" id="docshape83" stroked="false">
                  <v:imagedata r:id="rId57" o:title=""/>
                </v:shape>
                <v:shape style="position:absolute;left:2815;top:330;width:970;height:171" type="#_x0000_t75" id="docshape84" stroked="false">
                  <v:imagedata r:id="rId58" o:title=""/>
                </v:shape>
                <v:shape style="position:absolute;left:3832;top:426;width:28;height:24" id="docshape85" coordorigin="3832,426" coordsize="28,24" path="m3850,426l3842,426,3838,428,3834,432,3832,435,3832,442,3834,445,3838,449,3842,450,3850,450,3853,449,3858,445,3859,442,3859,438,3859,435,3858,432,3853,428,3850,426xe" filled="true" fillcolor="#000000" stroked="false">
                  <v:path arrowok="t"/>
                  <v:fill type="solid"/>
                </v:shape>
                <v:shape style="position:absolute;left:3911;top:330;width:735;height:120" type="#_x0000_t75" id="docshape86" stroked="false">
                  <v:imagedata r:id="rId59" o:title=""/>
                </v:shape>
                <v:shape style="position:absolute;left:4688;top:423;width:38;height:54" id="docshape87" coordorigin="4689,423" coordsize="38,54" path="m4726,423l4702,423,4689,469,4689,471,4689,473,4689,474,4692,476,4693,476,4697,476,4699,475,4726,423xe" filled="true" fillcolor="#000000" stroked="false">
                  <v:path arrowok="t"/>
                  <v:fill type="solid"/>
                </v:shape>
                <v:shape style="position:absolute;left:4866;top:365;width:105;height:120" type="#_x0000_t75" id="docshape88" stroked="false">
                  <v:imagedata r:id="rId60" o:title=""/>
                </v:shape>
                <v:shape style="position:absolute;left:5016;top:426;width:28;height:24" id="docshape89" coordorigin="5017,426" coordsize="28,24" path="m5035,426l5026,426,5023,428,5018,432,5017,435,5017,442,5018,445,5023,449,5026,450,5035,450,5038,449,5043,445,5044,442,5044,438,5044,435,5043,432,5038,428,5035,426xe" filled="true" fillcolor="#000000" stroked="false">
                  <v:path arrowok="t"/>
                  <v:fill type="solid"/>
                </v:shape>
                <v:shape style="position:absolute;left:5099;top:330;width:623;height:120" type="#_x0000_t75" id="docshape90" stroked="false">
                  <v:imagedata r:id="rId61" o:title=""/>
                </v:shape>
                <w10:wrap type="topAndBottom"/>
              </v:group>
            </w:pict>
          </mc:Fallback>
        </mc:AlternateContent>
      </w: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1594446</wp:posOffset>
                </wp:positionH>
                <wp:positionV relativeFrom="paragraph">
                  <wp:posOffset>397814</wp:posOffset>
                </wp:positionV>
                <wp:extent cx="4194175" cy="1143000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4194175" cy="1143000"/>
                          <a:chExt cx="4194175" cy="1143000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5179"/>
                            <a:ext cx="4193650" cy="10676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107753" y="0"/>
                            <a:ext cx="5270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9690">
                                <a:moveTo>
                                  <a:pt x="52158" y="25"/>
                                </a:moveTo>
                                <a:lnTo>
                                  <a:pt x="0" y="0"/>
                                </a:lnTo>
                                <a:lnTo>
                                  <a:pt x="0" y="22059"/>
                                </a:lnTo>
                                <a:lnTo>
                                  <a:pt x="457" y="23787"/>
                                </a:lnTo>
                                <a:lnTo>
                                  <a:pt x="2336" y="25844"/>
                                </a:lnTo>
                                <a:lnTo>
                                  <a:pt x="3543" y="26365"/>
                                </a:lnTo>
                                <a:lnTo>
                                  <a:pt x="6515" y="26365"/>
                                </a:lnTo>
                                <a:lnTo>
                                  <a:pt x="7734" y="25844"/>
                                </a:lnTo>
                                <a:lnTo>
                                  <a:pt x="9601" y="23787"/>
                                </a:lnTo>
                                <a:lnTo>
                                  <a:pt x="10071" y="22059"/>
                                </a:lnTo>
                                <a:lnTo>
                                  <a:pt x="10071" y="10096"/>
                                </a:lnTo>
                                <a:lnTo>
                                  <a:pt x="20980" y="10096"/>
                                </a:lnTo>
                                <a:lnTo>
                                  <a:pt x="20980" y="49491"/>
                                </a:lnTo>
                                <a:lnTo>
                                  <a:pt x="11823" y="49491"/>
                                </a:lnTo>
                                <a:lnTo>
                                  <a:pt x="10083" y="49961"/>
                                </a:lnTo>
                                <a:lnTo>
                                  <a:pt x="8026" y="51828"/>
                                </a:lnTo>
                                <a:lnTo>
                                  <a:pt x="7518" y="53022"/>
                                </a:lnTo>
                                <a:lnTo>
                                  <a:pt x="7518" y="56019"/>
                                </a:lnTo>
                                <a:lnTo>
                                  <a:pt x="8026" y="57226"/>
                                </a:lnTo>
                                <a:lnTo>
                                  <a:pt x="10083" y="59093"/>
                                </a:lnTo>
                                <a:lnTo>
                                  <a:pt x="11823" y="59562"/>
                                </a:lnTo>
                                <a:lnTo>
                                  <a:pt x="40233" y="59562"/>
                                </a:lnTo>
                                <a:lnTo>
                                  <a:pt x="41973" y="59093"/>
                                </a:lnTo>
                                <a:lnTo>
                                  <a:pt x="44030" y="57226"/>
                                </a:lnTo>
                                <a:lnTo>
                                  <a:pt x="44538" y="56032"/>
                                </a:lnTo>
                                <a:lnTo>
                                  <a:pt x="44538" y="53047"/>
                                </a:lnTo>
                                <a:lnTo>
                                  <a:pt x="44030" y="51828"/>
                                </a:lnTo>
                                <a:lnTo>
                                  <a:pt x="41973" y="49961"/>
                                </a:lnTo>
                                <a:lnTo>
                                  <a:pt x="40233" y="49491"/>
                                </a:lnTo>
                                <a:lnTo>
                                  <a:pt x="31038" y="49491"/>
                                </a:lnTo>
                                <a:lnTo>
                                  <a:pt x="31038" y="10096"/>
                                </a:lnTo>
                                <a:lnTo>
                                  <a:pt x="42087" y="10096"/>
                                </a:lnTo>
                                <a:lnTo>
                                  <a:pt x="42087" y="22059"/>
                                </a:lnTo>
                                <a:lnTo>
                                  <a:pt x="42557" y="23787"/>
                                </a:lnTo>
                                <a:lnTo>
                                  <a:pt x="44424" y="25844"/>
                                </a:lnTo>
                                <a:lnTo>
                                  <a:pt x="45631" y="26365"/>
                                </a:lnTo>
                                <a:lnTo>
                                  <a:pt x="48602" y="26365"/>
                                </a:lnTo>
                                <a:lnTo>
                                  <a:pt x="49822" y="25844"/>
                                </a:lnTo>
                                <a:lnTo>
                                  <a:pt x="51701" y="23787"/>
                                </a:lnTo>
                                <a:lnTo>
                                  <a:pt x="52158" y="22059"/>
                                </a:lnTo>
                                <a:lnTo>
                                  <a:pt x="52158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546997pt;margin-top:31.323999pt;width:330.25pt;height:90pt;mso-position-horizontal-relative:page;mso-position-vertical-relative:paragraph;z-index:-15718912;mso-wrap-distance-left:0;mso-wrap-distance-right:0" id="docshapegroup91" coordorigin="2511,626" coordsize="6605,1800">
                <v:shape style="position:absolute;left:2510;top:744;width:6605;height:1682" type="#_x0000_t75" id="docshape92" stroked="false">
                  <v:imagedata r:id="rId62" o:title=""/>
                </v:shape>
                <v:shape style="position:absolute;left:7405;top:626;width:83;height:94" id="docshape93" coordorigin="7405,626" coordsize="83,94" path="m7487,627l7405,626,7405,661,7406,664,7409,667,7411,668,7415,668,7417,667,7420,664,7421,661,7421,642,7438,642,7438,704,7424,704,7421,705,7418,708,7417,710,7417,715,7418,717,7421,720,7424,720,7468,720,7471,720,7474,717,7475,715,7475,710,7474,708,7471,705,7468,704,7454,704,7454,642,7471,642,7471,661,7472,664,7475,667,7477,668,7482,668,7483,667,7486,664,7487,661,7487,62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5"/>
        </w:rPr>
      </w:pPr>
    </w:p>
    <w:p>
      <w:pPr>
        <w:spacing w:line="264" w:lineRule="auto" w:before="173"/>
        <w:ind w:left="142" w:right="0" w:firstLine="1"/>
        <w:jc w:val="left"/>
        <w:rPr>
          <w:sz w:val="16"/>
        </w:rPr>
      </w:pPr>
      <w:bookmarkStart w:name="3 Discussion" w:id="22"/>
      <w:bookmarkEnd w:id="22"/>
      <w:r>
        <w:rPr/>
      </w:r>
      <w:bookmarkStart w:name="_bookmark13" w:id="23"/>
      <w:bookmarkEnd w:id="23"/>
      <w:r>
        <w:rPr/>
      </w:r>
      <w:r>
        <w:rPr>
          <w:sz w:val="16"/>
        </w:rPr>
        <w:t>Fig.</w:t>
      </w:r>
      <w:r>
        <w:rPr>
          <w:spacing w:val="-10"/>
          <w:sz w:val="16"/>
        </w:rPr>
        <w:t> </w:t>
      </w:r>
      <w:r>
        <w:rPr>
          <w:sz w:val="16"/>
        </w:rPr>
        <w:t>3.</w:t>
      </w:r>
      <w:r>
        <w:rPr>
          <w:spacing w:val="12"/>
          <w:sz w:val="16"/>
        </w:rPr>
        <w:t> </w:t>
      </w:r>
      <w:r>
        <w:rPr>
          <w:sz w:val="16"/>
        </w:rPr>
        <w:t>Conservation</w:t>
      </w:r>
      <w:r>
        <w:rPr>
          <w:spacing w:val="-10"/>
          <w:sz w:val="16"/>
        </w:rPr>
        <w:t> </w:t>
      </w:r>
      <w:r>
        <w:rPr>
          <w:sz w:val="16"/>
        </w:rPr>
        <w:t>analysis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mutation</w:t>
      </w:r>
      <w:r>
        <w:rPr>
          <w:spacing w:val="-10"/>
          <w:sz w:val="16"/>
        </w:rPr>
        <w:t> </w:t>
      </w:r>
      <w:r>
        <w:rPr>
          <w:sz w:val="16"/>
        </w:rPr>
        <w:t>sites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rFonts w:ascii="Times New Roman"/>
          <w:i/>
          <w:sz w:val="16"/>
        </w:rPr>
        <w:t>POLG</w:t>
      </w:r>
      <w:r>
        <w:rPr>
          <w:sz w:val="16"/>
        </w:rPr>
        <w:t>.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sites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sz w:val="16"/>
        </w:rPr>
        <w:t>compound</w:t>
      </w:r>
      <w:r>
        <w:rPr>
          <w:spacing w:val="-10"/>
          <w:sz w:val="16"/>
        </w:rPr>
        <w:t> </w:t>
      </w:r>
      <w:r>
        <w:rPr>
          <w:sz w:val="16"/>
        </w:rPr>
        <w:t>heterozygous</w:t>
      </w:r>
      <w:r>
        <w:rPr>
          <w:spacing w:val="-10"/>
          <w:sz w:val="16"/>
        </w:rPr>
        <w:t> </w:t>
      </w:r>
      <w:r>
        <w:rPr>
          <w:sz w:val="16"/>
        </w:rPr>
        <w:t>amino</w:t>
      </w:r>
      <w:r>
        <w:rPr>
          <w:spacing w:val="-9"/>
          <w:sz w:val="16"/>
        </w:rPr>
        <w:t> </w:t>
      </w:r>
      <w:r>
        <w:rPr>
          <w:sz w:val="16"/>
        </w:rPr>
        <w:t>acid</w:t>
      </w:r>
      <w:r>
        <w:rPr>
          <w:spacing w:val="-10"/>
          <w:sz w:val="16"/>
        </w:rPr>
        <w:t> </w:t>
      </w:r>
      <w:r>
        <w:rPr>
          <w:sz w:val="16"/>
        </w:rPr>
        <w:t>mutations</w:t>
      </w:r>
      <w:r>
        <w:rPr>
          <w:spacing w:val="-10"/>
          <w:sz w:val="16"/>
        </w:rPr>
        <w:t> </w:t>
      </w:r>
      <w:r>
        <w:rPr>
          <w:sz w:val="16"/>
        </w:rPr>
        <w:t>(p.957A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p.1185I)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9"/>
          <w:sz w:val="16"/>
        </w:rPr>
        <w:t> </w:t>
      </w:r>
      <w:r>
        <w:rPr>
          <w:sz w:val="16"/>
        </w:rPr>
        <w:t>well</w:t>
      </w:r>
      <w:r>
        <w:rPr>
          <w:spacing w:val="40"/>
          <w:sz w:val="16"/>
        </w:rPr>
        <w:t> </w:t>
      </w:r>
      <w:r>
        <w:rPr>
          <w:sz w:val="16"/>
        </w:rPr>
        <w:t>conserved across species.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after="0"/>
        <w:rPr>
          <w:sz w:val="18"/>
        </w:rPr>
        <w:sectPr>
          <w:pgSz w:w="11910" w:h="15880"/>
          <w:pgMar w:header="912" w:footer="0" w:top="1100" w:bottom="280" w:left="708" w:right="708"/>
        </w:sectPr>
      </w:pPr>
    </w:p>
    <w:p>
      <w:pPr>
        <w:pStyle w:val="ListParagraph"/>
        <w:numPr>
          <w:ilvl w:val="0"/>
          <w:numId w:val="1"/>
        </w:numPr>
        <w:tabs>
          <w:tab w:pos="363" w:val="left" w:leader="none"/>
        </w:tabs>
        <w:spacing w:line="240" w:lineRule="auto" w:before="69" w:after="0"/>
        <w:ind w:left="363" w:right="0" w:hanging="219"/>
        <w:jc w:val="left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Discussion</w:t>
      </w:r>
    </w:p>
    <w:p>
      <w:pPr>
        <w:pStyle w:val="BodyText"/>
        <w:spacing w:before="18"/>
        <w:rPr>
          <w:rFonts w:ascii="Times New Roman"/>
        </w:rPr>
      </w:pPr>
    </w:p>
    <w:p>
      <w:pPr>
        <w:pStyle w:val="BodyText"/>
        <w:spacing w:line="252" w:lineRule="auto" w:before="1"/>
        <w:ind w:left="142" w:right="38" w:firstLine="241"/>
        <w:jc w:val="right"/>
      </w:pPr>
      <w:r>
        <w:rPr/>
        <w:t>The</w:t>
      </w:r>
      <w:r>
        <w:rPr>
          <w:spacing w:val="-1"/>
        </w:rPr>
        <w:t> </w:t>
      </w:r>
      <w:r>
        <w:rPr/>
        <w:t>hetero compound</w:t>
      </w:r>
      <w:r>
        <w:rPr>
          <w:spacing w:val="-1"/>
        </w:rPr>
        <w:t> </w:t>
      </w:r>
      <w:r>
        <w:rPr/>
        <w:t>mutations in</w:t>
      </w:r>
      <w:r>
        <w:rPr>
          <w:spacing w:val="-1"/>
        </w:rPr>
        <w:t> </w:t>
      </w:r>
      <w:r>
        <w:rPr>
          <w:rFonts w:ascii="Times New Roman" w:hAnsi="Times New Roman"/>
          <w:i/>
        </w:rPr>
        <w:t>POLG</w:t>
      </w:r>
      <w:r>
        <w:rPr>
          <w:rFonts w:ascii="Times New Roman" w:hAnsi="Times New Roman"/>
          <w:i/>
          <w:spacing w:val="-3"/>
        </w:rPr>
        <w:t> </w:t>
      </w:r>
      <w:r>
        <w:rPr/>
        <w:t>were</w:t>
      </w:r>
      <w:r>
        <w:rPr>
          <w:spacing w:val="-1"/>
        </w:rPr>
        <w:t> </w:t>
      </w:r>
      <w:r>
        <w:rPr/>
        <w:t>not </w:t>
      </w:r>
      <w:r>
        <w:rPr>
          <w:spacing w:val="-2"/>
        </w:rPr>
        <w:t>found in either of the 1000 Genomes Project Database, </w:t>
      </w:r>
      <w:r>
        <w:rPr>
          <w:spacing w:val="-4"/>
        </w:rPr>
        <w:t>ESP6500 database nor HGVD, suggesting that these are </w:t>
      </w:r>
      <w:r>
        <w:rPr/>
        <w:t>pathogenic</w:t>
      </w:r>
      <w:r>
        <w:rPr>
          <w:spacing w:val="31"/>
        </w:rPr>
        <w:t> </w:t>
      </w:r>
      <w:r>
        <w:rPr/>
        <w:t>mutations.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amino</w:t>
      </w:r>
      <w:r>
        <w:rPr>
          <w:spacing w:val="31"/>
        </w:rPr>
        <w:t> </w:t>
      </w:r>
      <w:r>
        <w:rPr/>
        <w:t>acid</w:t>
      </w:r>
      <w:r>
        <w:rPr>
          <w:spacing w:val="31"/>
        </w:rPr>
        <w:t> </w:t>
      </w:r>
      <w:r>
        <w:rPr/>
        <w:t>sequences</w:t>
      </w:r>
      <w:r>
        <w:rPr>
          <w:spacing w:val="31"/>
        </w:rPr>
        <w:t> </w:t>
      </w:r>
      <w:r>
        <w:rPr/>
        <w:t>of these</w:t>
      </w:r>
      <w:r>
        <w:rPr>
          <w:spacing w:val="80"/>
        </w:rPr>
        <w:t> </w:t>
      </w:r>
      <w:r>
        <w:rPr/>
        <w:t>two</w:t>
      </w:r>
      <w:r>
        <w:rPr>
          <w:spacing w:val="80"/>
        </w:rPr>
        <w:t> </w:t>
      </w:r>
      <w:r>
        <w:rPr/>
        <w:t>sites</w:t>
      </w:r>
      <w:r>
        <w:rPr>
          <w:spacing w:val="80"/>
        </w:rPr>
        <w:t> </w:t>
      </w:r>
      <w:r>
        <w:rPr/>
        <w:t>(p.A957V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p.I1185T)</w:t>
      </w:r>
      <w:r>
        <w:rPr>
          <w:spacing w:val="80"/>
        </w:rPr>
        <w:t> </w:t>
      </w:r>
      <w:r>
        <w:rPr/>
        <w:t>are</w:t>
      </w:r>
      <w:r>
        <w:rPr>
          <w:spacing w:val="80"/>
        </w:rPr>
        <w:t> </w:t>
      </w:r>
      <w:r>
        <w:rPr/>
        <w:t>well conserved</w:t>
      </w:r>
      <w:r>
        <w:rPr>
          <w:spacing w:val="80"/>
        </w:rPr>
        <w:t> </w:t>
      </w:r>
      <w:r>
        <w:rPr/>
        <w:t>across</w:t>
      </w:r>
      <w:r>
        <w:rPr>
          <w:spacing w:val="80"/>
        </w:rPr>
        <w:t> </w:t>
      </w:r>
      <w:r>
        <w:rPr/>
        <w:t>species</w:t>
      </w:r>
      <w:r>
        <w:rPr>
          <w:spacing w:val="80"/>
        </w:rPr>
        <w:t> </w:t>
      </w:r>
      <w:r>
        <w:rPr/>
        <w:t>including</w:t>
      </w:r>
      <w:r>
        <w:rPr>
          <w:spacing w:val="80"/>
        </w:rPr>
        <w:t> </w:t>
      </w:r>
      <w:r>
        <w:rPr>
          <w:rFonts w:ascii="Times New Roman" w:hAnsi="Times New Roman"/>
          <w:i/>
        </w:rPr>
        <w:t>Saccharomyces cerevisiae</w:t>
      </w:r>
      <w:r>
        <w:rPr/>
        <w:t>,</w:t>
      </w:r>
      <w:r>
        <w:rPr>
          <w:spacing w:val="-3"/>
        </w:rPr>
        <w:t> </w:t>
      </w:r>
      <w:r>
        <w:rPr/>
        <w:t>indicating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(</w:t>
      </w:r>
      <w:hyperlink w:history="true" w:anchor="_bookmark13">
        <w:r>
          <w:rPr>
            <w:color w:val="007FAD"/>
          </w:rPr>
          <w:t>Fig.</w:t>
        </w:r>
        <w:r>
          <w:rPr>
            <w:color w:val="007FAD"/>
            <w:spacing w:val="-2"/>
          </w:rPr>
          <w:t> </w:t>
        </w:r>
        <w:r>
          <w:rPr>
            <w:color w:val="007FAD"/>
          </w:rPr>
          <w:t>3</w:t>
        </w:r>
      </w:hyperlink>
      <w:r>
        <w:rPr/>
        <w:t>).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In</w:t>
      </w:r>
      <w:r>
        <w:rPr>
          <w:rFonts w:ascii="Times New Roman" w:hAnsi="Times New Roman"/>
          <w:i/>
          <w:spacing w:val="-4"/>
        </w:rPr>
        <w:t> </w:t>
      </w:r>
      <w:r>
        <w:rPr>
          <w:rFonts w:ascii="Times New Roman" w:hAnsi="Times New Roman"/>
          <w:i/>
        </w:rPr>
        <w:t>silico </w:t>
      </w:r>
      <w:r>
        <w:rPr/>
        <w:t>analyses</w:t>
      </w:r>
      <w:r>
        <w:rPr>
          <w:spacing w:val="57"/>
        </w:rPr>
        <w:t> </w:t>
      </w:r>
      <w:r>
        <w:rPr/>
        <w:t>also</w:t>
      </w:r>
      <w:r>
        <w:rPr>
          <w:spacing w:val="57"/>
        </w:rPr>
        <w:t> </w:t>
      </w:r>
      <w:r>
        <w:rPr/>
        <w:t>predicted</w:t>
      </w:r>
      <w:r>
        <w:rPr>
          <w:spacing w:val="57"/>
        </w:rPr>
        <w:t> </w:t>
      </w:r>
      <w:r>
        <w:rPr/>
        <w:t>that</w:t>
      </w:r>
      <w:r>
        <w:rPr>
          <w:spacing w:val="57"/>
        </w:rPr>
        <w:t> </w:t>
      </w:r>
      <w:r>
        <w:rPr/>
        <w:t>these</w:t>
      </w:r>
      <w:r>
        <w:rPr>
          <w:spacing w:val="57"/>
        </w:rPr>
        <w:t> </w:t>
      </w:r>
      <w:r>
        <w:rPr/>
        <w:t>two</w:t>
      </w:r>
      <w:r>
        <w:rPr>
          <w:spacing w:val="57"/>
        </w:rPr>
        <w:t> </w:t>
      </w:r>
      <w:r>
        <w:rPr/>
        <w:t>amino</w:t>
      </w:r>
      <w:r>
        <w:rPr>
          <w:spacing w:val="57"/>
        </w:rPr>
        <w:t> </w:t>
      </w:r>
      <w:r>
        <w:rPr/>
        <w:t>acid </w:t>
      </w:r>
      <w:r>
        <w:rPr>
          <w:spacing w:val="-4"/>
        </w:rPr>
        <w:t>mutations</w:t>
      </w:r>
      <w:r>
        <w:rPr>
          <w:spacing w:val="-6"/>
        </w:rPr>
        <w:t> </w:t>
      </w:r>
      <w:r>
        <w:rPr>
          <w:spacing w:val="-4"/>
        </w:rPr>
        <w:t>are</w:t>
      </w:r>
      <w:r>
        <w:rPr>
          <w:spacing w:val="-5"/>
        </w:rPr>
        <w:t> </w:t>
      </w:r>
      <w:r>
        <w:rPr>
          <w:spacing w:val="-4"/>
        </w:rPr>
        <w:t>deleterious.</w:t>
      </w:r>
      <w:r>
        <w:rPr>
          <w:spacing w:val="-5"/>
        </w:rPr>
        <w:t> </w:t>
      </w:r>
      <w:r>
        <w:rPr>
          <w:spacing w:val="-4"/>
        </w:rPr>
        <w:t>Furthermore</w:t>
      </w:r>
      <w:r>
        <w:rPr>
          <w:spacing w:val="-5"/>
        </w:rPr>
        <w:t> </w:t>
      </w:r>
      <w:r>
        <w:rPr>
          <w:spacing w:val="-4"/>
        </w:rPr>
        <w:t>A957V</w:t>
      </w:r>
      <w:r>
        <w:rPr>
          <w:spacing w:val="-5"/>
        </w:rPr>
        <w:t> </w:t>
      </w:r>
      <w:r>
        <w:rPr>
          <w:spacing w:val="-4"/>
        </w:rPr>
        <w:t>has</w:t>
      </w:r>
      <w:r>
        <w:rPr>
          <w:spacing w:val="-5"/>
        </w:rPr>
        <w:t> </w:t>
      </w:r>
      <w:r>
        <w:rPr>
          <w:spacing w:val="-4"/>
        </w:rPr>
        <w:t>been </w:t>
      </w:r>
      <w:r>
        <w:rPr>
          <w:spacing w:val="-2"/>
        </w:rPr>
        <w:t>reported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Tang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7"/>
        </w:rPr>
        <w:t> </w:t>
      </w:r>
      <w:r>
        <w:rPr>
          <w:spacing w:val="-2"/>
        </w:rPr>
        <w:t>al.</w:t>
      </w:r>
      <w:r>
        <w:rPr>
          <w:spacing w:val="-7"/>
        </w:rPr>
        <w:t> </w:t>
      </w:r>
      <w:hyperlink w:history="true" w:anchor="_bookmark17">
        <w:r>
          <w:rPr>
            <w:color w:val="007FAD"/>
            <w:spacing w:val="-2"/>
          </w:rPr>
          <w:t>[10]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reported</w:t>
      </w:r>
      <w:r>
        <w:rPr>
          <w:spacing w:val="-7"/>
        </w:rPr>
        <w:t> </w:t>
      </w:r>
      <w:r>
        <w:rPr>
          <w:spacing w:val="-2"/>
        </w:rPr>
        <w:t>A957V</w:t>
      </w:r>
      <w:r>
        <w:rPr>
          <w:spacing w:val="-6"/>
        </w:rPr>
        <w:t> </w:t>
      </w:r>
      <w:r>
        <w:rPr>
          <w:spacing w:val="-2"/>
        </w:rPr>
        <w:t>allele was</w:t>
      </w:r>
      <w:r>
        <w:rPr>
          <w:spacing w:val="17"/>
        </w:rPr>
        <w:t> </w:t>
      </w:r>
      <w:r>
        <w:rPr>
          <w:spacing w:val="-2"/>
        </w:rPr>
        <w:t>shared</w:t>
      </w:r>
      <w:r>
        <w:rPr>
          <w:spacing w:val="17"/>
        </w:rPr>
        <w:t> </w:t>
      </w:r>
      <w:r>
        <w:rPr>
          <w:spacing w:val="-2"/>
        </w:rPr>
        <w:t>in</w:t>
      </w:r>
      <w:r>
        <w:rPr>
          <w:spacing w:val="18"/>
        </w:rPr>
        <w:t> </w:t>
      </w:r>
      <w:r>
        <w:rPr>
          <w:spacing w:val="-2"/>
        </w:rPr>
        <w:t>three</w:t>
      </w:r>
      <w:r>
        <w:rPr>
          <w:spacing w:val="17"/>
        </w:rPr>
        <w:t> </w:t>
      </w:r>
      <w:r>
        <w:rPr>
          <w:spacing w:val="-2"/>
        </w:rPr>
        <w:t>unrelated</w:t>
      </w:r>
      <w:r>
        <w:rPr>
          <w:spacing w:val="18"/>
        </w:rPr>
        <w:t> </w:t>
      </w:r>
      <w:r>
        <w:rPr>
          <w:spacing w:val="-2"/>
        </w:rPr>
        <w:t>patients</w:t>
      </w:r>
      <w:r>
        <w:rPr>
          <w:spacing w:val="17"/>
        </w:rPr>
        <w:t> </w:t>
      </w:r>
      <w:r>
        <w:rPr>
          <w:spacing w:val="-2"/>
        </w:rPr>
        <w:t>and</w:t>
      </w:r>
      <w:r>
        <w:rPr>
          <w:spacing w:val="16"/>
        </w:rPr>
        <w:t> </w:t>
      </w:r>
      <w:r>
        <w:rPr>
          <w:spacing w:val="-2"/>
        </w:rPr>
        <w:t>concluded this</w:t>
      </w:r>
      <w:r>
        <w:rPr>
          <w:spacing w:val="2"/>
        </w:rPr>
        <w:t> </w:t>
      </w:r>
      <w:r>
        <w:rPr>
          <w:spacing w:val="-2"/>
        </w:rPr>
        <w:t>mutation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2"/>
        </w:rPr>
        <w:t> </w:t>
      </w:r>
      <w:r>
        <w:rPr>
          <w:spacing w:val="-2"/>
        </w:rPr>
        <w:t>pathogenic.</w:t>
      </w:r>
      <w:r>
        <w:rPr>
          <w:spacing w:val="3"/>
        </w:rPr>
        <w:t> </w:t>
      </w:r>
      <w:r>
        <w:rPr>
          <w:spacing w:val="-2"/>
        </w:rPr>
        <w:t>The</w:t>
      </w:r>
      <w:r>
        <w:rPr>
          <w:spacing w:val="2"/>
        </w:rPr>
        <w:t> </w:t>
      </w:r>
      <w:r>
        <w:rPr>
          <w:spacing w:val="-2"/>
        </w:rPr>
        <w:t>pathogenic</w:t>
      </w:r>
      <w:r>
        <w:rPr>
          <w:spacing w:val="2"/>
        </w:rPr>
        <w:t> </w:t>
      </w:r>
      <w:r>
        <w:rPr>
          <w:spacing w:val="-2"/>
        </w:rPr>
        <w:t>mutations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ﬂanking</w:t>
      </w:r>
      <w:r>
        <w:rPr>
          <w:spacing w:val="13"/>
        </w:rPr>
        <w:t> </w:t>
      </w:r>
      <w:r>
        <w:rPr/>
        <w:t>region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p.1185I;</w:t>
      </w:r>
      <w:r>
        <w:rPr>
          <w:spacing w:val="12"/>
        </w:rPr>
        <w:t> </w:t>
      </w:r>
      <w:r>
        <w:rPr/>
        <w:t>p.1184D</w:t>
      </w:r>
      <w:r>
        <w:rPr>
          <w:spacing w:val="13"/>
        </w:rPr>
        <w:t> </w:t>
      </w:r>
      <w:hyperlink w:history="true" w:anchor="_bookmark18">
        <w:r>
          <w:rPr>
            <w:color w:val="007FAD"/>
          </w:rPr>
          <w:t>[11,12]</w:t>
        </w:r>
      </w:hyperlink>
      <w:r>
        <w:rPr>
          <w:color w:val="007FAD"/>
          <w:spacing w:val="12"/>
        </w:rPr>
        <w:t> </w:t>
      </w:r>
      <w:r>
        <w:rPr/>
        <w:t>and </w:t>
      </w:r>
      <w:r>
        <w:rPr>
          <w:spacing w:val="-2"/>
        </w:rPr>
        <w:t>p.1186D</w:t>
      </w:r>
      <w:r>
        <w:rPr>
          <w:spacing w:val="-6"/>
        </w:rPr>
        <w:t> </w:t>
      </w:r>
      <w:hyperlink w:history="true" w:anchor="_bookmark19">
        <w:r>
          <w:rPr>
            <w:color w:val="007FAD"/>
            <w:spacing w:val="-2"/>
          </w:rPr>
          <w:t>[13]</w:t>
        </w:r>
      </w:hyperlink>
      <w:r>
        <w:rPr>
          <w:color w:val="007FAD"/>
          <w:spacing w:val="-7"/>
        </w:rPr>
        <w:t> </w:t>
      </w:r>
      <w:r>
        <w:rPr>
          <w:spacing w:val="-2"/>
        </w:rPr>
        <w:t>have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reported,</w:t>
      </w:r>
      <w:r>
        <w:rPr>
          <w:spacing w:val="-7"/>
        </w:rPr>
        <w:t> </w:t>
      </w:r>
      <w:r>
        <w:rPr>
          <w:spacing w:val="-2"/>
        </w:rPr>
        <w:t>suggesting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region </w:t>
      </w:r>
      <w:r>
        <w:rPr/>
        <w:t>is</w:t>
      </w:r>
      <w:r>
        <w:rPr>
          <w:spacing w:val="29"/>
        </w:rPr>
        <w:t> </w:t>
      </w:r>
      <w:r>
        <w:rPr/>
        <w:t>also</w:t>
      </w:r>
      <w:r>
        <w:rPr>
          <w:spacing w:val="29"/>
        </w:rPr>
        <w:t> </w:t>
      </w:r>
      <w:r>
        <w:rPr/>
        <w:t>important.</w:t>
      </w:r>
      <w:r>
        <w:rPr>
          <w:spacing w:val="28"/>
        </w:rPr>
        <w:t> </w:t>
      </w:r>
      <w:r>
        <w:rPr/>
        <w:t>Thus,</w:t>
      </w:r>
      <w:r>
        <w:rPr>
          <w:spacing w:val="28"/>
        </w:rPr>
        <w:t> </w:t>
      </w:r>
      <w:r>
        <w:rPr/>
        <w:t>we</w:t>
      </w:r>
      <w:r>
        <w:rPr>
          <w:spacing w:val="28"/>
        </w:rPr>
        <w:t> </w:t>
      </w:r>
      <w:r>
        <w:rPr/>
        <w:t>conclude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compound </w:t>
      </w:r>
      <w:r>
        <w:rPr>
          <w:spacing w:val="-4"/>
        </w:rPr>
        <w:t>heterozygous</w:t>
      </w:r>
      <w:r>
        <w:rPr>
          <w:spacing w:val="-9"/>
        </w:rPr>
        <w:t> </w:t>
      </w:r>
      <w:r>
        <w:rPr>
          <w:spacing w:val="-4"/>
        </w:rPr>
        <w:t>mutations</w:t>
      </w:r>
      <w:r>
        <w:rPr>
          <w:spacing w:val="-8"/>
        </w:rPr>
        <w:t> </w:t>
      </w:r>
      <w:r>
        <w:rPr>
          <w:spacing w:val="-4"/>
        </w:rPr>
        <w:t>of</w:t>
      </w:r>
      <w:r>
        <w:rPr>
          <w:spacing w:val="-8"/>
        </w:rPr>
        <w:t> </w:t>
      </w:r>
      <w:r>
        <w:rPr>
          <w:spacing w:val="-4"/>
        </w:rPr>
        <w:t>this</w:t>
      </w:r>
      <w:r>
        <w:rPr>
          <w:spacing w:val="-8"/>
        </w:rPr>
        <w:t> </w:t>
      </w:r>
      <w:r>
        <w:rPr>
          <w:spacing w:val="-4"/>
        </w:rPr>
        <w:t>patient</w:t>
      </w:r>
      <w:r>
        <w:rPr>
          <w:spacing w:val="-8"/>
        </w:rPr>
        <w:t> </w:t>
      </w:r>
      <w:r>
        <w:rPr>
          <w:spacing w:val="-4"/>
        </w:rPr>
        <w:t>cause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disease. </w:t>
      </w:r>
      <w:r>
        <w:rPr/>
        <w:t>Alpers syndrome is deﬁned as the clinical triad of (1) </w:t>
      </w:r>
      <w:r>
        <w:rPr>
          <w:spacing w:val="-4"/>
        </w:rPr>
        <w:t>refractory, mixed-type seizures that often include a focal component, (2) psychomotor regression, often triggered </w:t>
      </w:r>
      <w:r>
        <w:rPr>
          <w:spacing w:val="-2"/>
        </w:rPr>
        <w:t>by</w:t>
      </w:r>
      <w:r>
        <w:rPr>
          <w:spacing w:val="13"/>
        </w:rPr>
        <w:t> </w:t>
      </w:r>
      <w:r>
        <w:rPr>
          <w:spacing w:val="-2"/>
        </w:rPr>
        <w:t>intercurrent</w:t>
      </w:r>
      <w:r>
        <w:rPr>
          <w:spacing w:val="14"/>
        </w:rPr>
        <w:t> </w:t>
      </w:r>
      <w:r>
        <w:rPr>
          <w:spacing w:val="-2"/>
        </w:rPr>
        <w:t>infection,</w:t>
      </w:r>
      <w:r>
        <w:rPr>
          <w:spacing w:val="13"/>
        </w:rPr>
        <w:t> </w:t>
      </w:r>
      <w:r>
        <w:rPr>
          <w:spacing w:val="-2"/>
        </w:rPr>
        <w:t>and</w:t>
      </w:r>
      <w:r>
        <w:rPr>
          <w:spacing w:val="13"/>
        </w:rPr>
        <w:t> </w:t>
      </w:r>
      <w:r>
        <w:rPr>
          <w:spacing w:val="-2"/>
        </w:rPr>
        <w:t>(3)</w:t>
      </w:r>
      <w:r>
        <w:rPr>
          <w:spacing w:val="13"/>
        </w:rPr>
        <w:t> </w:t>
      </w:r>
      <w:r>
        <w:rPr>
          <w:spacing w:val="-2"/>
        </w:rPr>
        <w:t>hepatopathy</w:t>
      </w:r>
      <w:r>
        <w:rPr>
          <w:spacing w:val="13"/>
        </w:rPr>
        <w:t> </w:t>
      </w:r>
      <w:r>
        <w:rPr>
          <w:spacing w:val="-2"/>
        </w:rPr>
        <w:t>with</w:t>
      </w:r>
      <w:r>
        <w:rPr>
          <w:spacing w:val="13"/>
        </w:rPr>
        <w:t> </w:t>
      </w:r>
      <w:r>
        <w:rPr>
          <w:spacing w:val="-2"/>
        </w:rPr>
        <w:t>or without acute liver failure. There is an overlap between </w:t>
      </w:r>
      <w:r>
        <w:rPr/>
        <w:t>the</w:t>
      </w:r>
      <w:r>
        <w:rPr>
          <w:spacing w:val="80"/>
        </w:rPr>
        <w:t> </w:t>
      </w:r>
      <w:r>
        <w:rPr/>
        <w:t>phenotypes</w:t>
      </w:r>
      <w:r>
        <w:rPr>
          <w:spacing w:val="80"/>
        </w:rPr>
        <w:t> </w:t>
      </w:r>
      <w:r>
        <w:rPr/>
        <w:t>of</w:t>
      </w:r>
      <w:r>
        <w:rPr>
          <w:spacing w:val="80"/>
        </w:rPr>
        <w:t> </w:t>
      </w:r>
      <w:r>
        <w:rPr/>
        <w:t>MCHS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Alpers</w:t>
      </w:r>
      <w:r>
        <w:rPr>
          <w:spacing w:val="80"/>
        </w:rPr>
        <w:t> </w:t>
      </w:r>
      <w:r>
        <w:rPr/>
        <w:t>syndrome; </w:t>
      </w:r>
      <w:r>
        <w:rPr>
          <w:spacing w:val="-2"/>
        </w:rPr>
        <w:t>however, the former</w:t>
      </w:r>
      <w:r>
        <w:rPr/>
        <w:t> </w:t>
      </w:r>
      <w:r>
        <w:rPr>
          <w:spacing w:val="-2"/>
        </w:rPr>
        <w:t>usually shows an earlier</w:t>
      </w:r>
      <w:r>
        <w:rPr/>
        <w:t> </w:t>
      </w:r>
      <w:r>
        <w:rPr>
          <w:spacing w:val="-2"/>
        </w:rPr>
        <w:t>onset age and</w:t>
      </w:r>
      <w:r>
        <w:rPr>
          <w:spacing w:val="9"/>
        </w:rPr>
        <w:t> </w:t>
      </w:r>
      <w:r>
        <w:rPr>
          <w:spacing w:val="-2"/>
        </w:rPr>
        <w:t>more</w:t>
      </w:r>
      <w:r>
        <w:rPr>
          <w:spacing w:val="9"/>
        </w:rPr>
        <w:t> </w:t>
      </w:r>
      <w:r>
        <w:rPr>
          <w:spacing w:val="-2"/>
        </w:rPr>
        <w:t>rapid</w:t>
      </w:r>
      <w:r>
        <w:rPr>
          <w:spacing w:val="8"/>
        </w:rPr>
        <w:t> </w:t>
      </w:r>
      <w:r>
        <w:rPr>
          <w:spacing w:val="-2"/>
        </w:rPr>
        <w:t>disease</w:t>
      </w:r>
      <w:r>
        <w:rPr>
          <w:spacing w:val="8"/>
        </w:rPr>
        <w:t> </w:t>
      </w:r>
      <w:r>
        <w:rPr>
          <w:spacing w:val="-2"/>
        </w:rPr>
        <w:t>progression,</w:t>
      </w:r>
      <w:r>
        <w:rPr>
          <w:spacing w:val="9"/>
        </w:rPr>
        <w:t> </w:t>
      </w:r>
      <w:r>
        <w:rPr>
          <w:spacing w:val="-2"/>
        </w:rPr>
        <w:t>while</w:t>
      </w:r>
      <w:r>
        <w:rPr>
          <w:spacing w:val="8"/>
        </w:rPr>
        <w:t> </w:t>
      </w:r>
      <w:r>
        <w:rPr>
          <w:spacing w:val="-2"/>
        </w:rPr>
        <w:t>the</w:t>
      </w:r>
      <w:r>
        <w:rPr>
          <w:spacing w:val="8"/>
        </w:rPr>
        <w:t> </w:t>
      </w:r>
      <w:r>
        <w:rPr>
          <w:spacing w:val="-2"/>
        </w:rPr>
        <w:t>latter</w:t>
      </w:r>
      <w:r>
        <w:rPr>
          <w:spacing w:val="8"/>
        </w:rPr>
        <w:t> </w:t>
      </w:r>
      <w:r>
        <w:rPr>
          <w:spacing w:val="-2"/>
        </w:rPr>
        <w:t>is characterized</w:t>
      </w:r>
      <w:r>
        <w:rPr>
          <w:spacing w:val="-3"/>
        </w:rPr>
        <w:t> </w:t>
      </w:r>
      <w:r>
        <w:rPr>
          <w:spacing w:val="-2"/>
        </w:rPr>
        <w:t>by intractable</w:t>
      </w:r>
      <w:r>
        <w:rPr>
          <w:spacing w:val="-3"/>
        </w:rPr>
        <w:t> </w:t>
      </w:r>
      <w:r>
        <w:rPr>
          <w:spacing w:val="-2"/>
        </w:rPr>
        <w:t>epilepsy. Using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myo-</w:t>
      </w:r>
      <w:r>
        <w:rPr>
          <w:rFonts w:ascii="Times New Roman" w:hAnsi="Times New Roman"/>
          <w:spacing w:val="-2"/>
        </w:rPr>
        <w:t>” </w:t>
      </w:r>
      <w:r>
        <w:rPr>
          <w:spacing w:val="-2"/>
        </w:rPr>
        <w:t>preﬁx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0"/>
        </w:rPr>
        <w:t> </w:t>
      </w:r>
      <w:r>
        <w:rPr>
          <w:spacing w:val="-2"/>
        </w:rPr>
        <w:t>MCHS</w:t>
      </w:r>
      <w:r>
        <w:rPr>
          <w:spacing w:val="-10"/>
        </w:rPr>
        <w:t> </w:t>
      </w:r>
      <w:r>
        <w:rPr>
          <w:spacing w:val="-2"/>
        </w:rPr>
        <w:t>may</w:t>
      </w:r>
      <w:r>
        <w:rPr>
          <w:spacing w:val="-10"/>
        </w:rPr>
        <w:t> </w:t>
      </w:r>
      <w:r>
        <w:rPr>
          <w:spacing w:val="-2"/>
        </w:rPr>
        <w:t>be</w:t>
      </w:r>
      <w:r>
        <w:rPr>
          <w:spacing w:val="-10"/>
        </w:rPr>
        <w:t> </w:t>
      </w:r>
      <w:r>
        <w:rPr>
          <w:spacing w:val="-2"/>
        </w:rPr>
        <w:t>confusing</w:t>
      </w:r>
      <w:r>
        <w:rPr>
          <w:spacing w:val="-10"/>
        </w:rPr>
        <w:t> </w:t>
      </w:r>
      <w:r>
        <w:rPr>
          <w:spacing w:val="-2"/>
        </w:rPr>
        <w:t>since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pathological </w:t>
      </w:r>
      <w:r>
        <w:rPr/>
        <w:t>ﬁndings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muscles</w:t>
      </w:r>
      <w:r>
        <w:rPr>
          <w:spacing w:val="36"/>
        </w:rPr>
        <w:t> </w:t>
      </w:r>
      <w:r>
        <w:rPr/>
        <w:t>in</w:t>
      </w:r>
      <w:r>
        <w:rPr>
          <w:spacing w:val="34"/>
        </w:rPr>
        <w:t> </w:t>
      </w:r>
      <w:r>
        <w:rPr/>
        <w:t>this</w:t>
      </w:r>
      <w:r>
        <w:rPr>
          <w:spacing w:val="36"/>
        </w:rPr>
        <w:t> </w:t>
      </w:r>
      <w:r>
        <w:rPr/>
        <w:t>disorder</w:t>
      </w:r>
      <w:r>
        <w:rPr>
          <w:spacing w:val="34"/>
        </w:rPr>
        <w:t> </w:t>
      </w:r>
      <w:r>
        <w:rPr/>
        <w:t>often</w:t>
      </w:r>
      <w:r>
        <w:rPr>
          <w:spacing w:val="36"/>
        </w:rPr>
        <w:t> </w:t>
      </w:r>
      <w:r>
        <w:rPr/>
        <w:t>shows</w:t>
      </w:r>
      <w:r>
        <w:rPr>
          <w:spacing w:val="35"/>
        </w:rPr>
        <w:t> </w:t>
      </w:r>
      <w:r>
        <w:rPr/>
        <w:t>no </w:t>
      </w:r>
      <w:r>
        <w:rPr>
          <w:spacing w:val="-2"/>
        </w:rPr>
        <w:t>evidence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mitochondrial</w:t>
      </w:r>
      <w:r>
        <w:rPr>
          <w:spacing w:val="-10"/>
        </w:rPr>
        <w:t> </w:t>
      </w:r>
      <w:r>
        <w:rPr>
          <w:spacing w:val="-2"/>
        </w:rPr>
        <w:t>myopathy;</w:t>
      </w:r>
      <w:r>
        <w:rPr>
          <w:spacing w:val="-10"/>
        </w:rPr>
        <w:t> </w:t>
      </w:r>
      <w:r>
        <w:rPr>
          <w:spacing w:val="-2"/>
        </w:rPr>
        <w:t>instead,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hypo- </w:t>
      </w:r>
      <w:r>
        <w:rPr>
          <w:spacing w:val="-6"/>
        </w:rPr>
        <w:t>tonia</w:t>
      </w:r>
      <w:r>
        <w:rPr>
          <w:spacing w:val="-2"/>
        </w:rPr>
        <w:t> </w:t>
      </w:r>
      <w:r>
        <w:rPr>
          <w:spacing w:val="-6"/>
        </w:rPr>
        <w:t>observed</w:t>
      </w:r>
      <w:r>
        <w:rPr>
          <w:spacing w:val="-1"/>
        </w:rPr>
        <w:t> </w:t>
      </w:r>
      <w:r>
        <w:rPr>
          <w:spacing w:val="-6"/>
        </w:rPr>
        <w:t>in the triad</w:t>
      </w:r>
      <w:r>
        <w:rPr>
          <w:spacing w:val="-2"/>
        </w:rPr>
        <w:t> </w:t>
      </w:r>
      <w:r>
        <w:rPr>
          <w:spacing w:val="-6"/>
        </w:rPr>
        <w:t>can be</w:t>
      </w:r>
      <w:r>
        <w:rPr>
          <w:spacing w:val="-2"/>
        </w:rPr>
        <w:t> </w:t>
      </w:r>
      <w:r>
        <w:rPr>
          <w:spacing w:val="-6"/>
        </w:rPr>
        <w:t>regarded as a</w:t>
      </w:r>
      <w:r>
        <w:rPr>
          <w:spacing w:val="-2"/>
        </w:rPr>
        <w:t> </w:t>
      </w:r>
      <w:r>
        <w:rPr>
          <w:spacing w:val="-6"/>
        </w:rPr>
        <w:t>symptom </w:t>
      </w:r>
      <w:r>
        <w:rPr/>
        <w:t>of</w:t>
      </w:r>
      <w:r>
        <w:rPr>
          <w:spacing w:val="8"/>
        </w:rPr>
        <w:t> </w:t>
      </w:r>
      <w:r>
        <w:rPr/>
        <w:t>brain</w:t>
      </w:r>
      <w:r>
        <w:rPr>
          <w:spacing w:val="9"/>
        </w:rPr>
        <w:t> </w:t>
      </w:r>
      <w:r>
        <w:rPr/>
        <w:t>dysfunction.</w:t>
      </w:r>
      <w:r>
        <w:rPr>
          <w:spacing w:val="9"/>
        </w:rPr>
        <w:t> </w:t>
      </w:r>
      <w:r>
        <w:rPr/>
        <w:t>Thus,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clinical</w:t>
      </w:r>
      <w:r>
        <w:rPr>
          <w:spacing w:val="9"/>
        </w:rPr>
        <w:t> </w:t>
      </w:r>
      <w:r>
        <w:rPr/>
        <w:t>features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before="4"/>
        <w:ind w:left="142"/>
      </w:pPr>
      <w:r>
        <w:rPr>
          <w:spacing w:val="-2"/>
        </w:rPr>
        <w:t>patient</w:t>
      </w:r>
      <w:r>
        <w:rPr>
          <w:spacing w:val="-9"/>
        </w:rPr>
        <w:t> </w:t>
      </w:r>
      <w:r>
        <w:rPr>
          <w:spacing w:val="-2"/>
        </w:rPr>
        <w:t>discussed</w:t>
      </w:r>
      <w:r>
        <w:rPr>
          <w:spacing w:val="-9"/>
        </w:rPr>
        <w:t> </w:t>
      </w:r>
      <w:r>
        <w:rPr>
          <w:spacing w:val="-2"/>
        </w:rPr>
        <w:t>herein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typical</w:t>
      </w:r>
      <w:r>
        <w:rPr>
          <w:spacing w:val="-9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MCHS.</w:t>
      </w:r>
    </w:p>
    <w:p>
      <w:pPr>
        <w:pStyle w:val="BodyText"/>
        <w:spacing w:line="252" w:lineRule="auto" w:before="69"/>
        <w:ind w:left="142" w:right="302" w:firstLine="241"/>
        <w:jc w:val="both"/>
      </w:pPr>
      <w:r>
        <w:rPr/>
        <w:br w:type="column"/>
      </w:r>
      <w:r>
        <w:rPr/>
        <w:t>Although</w:t>
      </w:r>
      <w:r>
        <w:rPr>
          <w:spacing w:val="-13"/>
        </w:rPr>
        <w:t> </w:t>
      </w:r>
      <w:r>
        <w:rPr/>
        <w:t>Wong</w:t>
      </w:r>
      <w:r>
        <w:rPr>
          <w:spacing w:val="-9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7"/>
        </w:rPr>
        <w:t> </w:t>
      </w:r>
      <w:hyperlink w:history="true" w:anchor="_bookmark26">
        <w:r>
          <w:rPr>
            <w:color w:val="007FAD"/>
          </w:rPr>
          <w:t>[3]</w:t>
        </w:r>
      </w:hyperlink>
      <w:r>
        <w:rPr>
          <w:color w:val="007FAD"/>
          <w:spacing w:val="-6"/>
        </w:rPr>
        <w:t> </w:t>
      </w:r>
      <w:r>
        <w:rPr>
          <w:rFonts w:ascii="Times New Roman" w:hAnsi="Times New Roman"/>
          <w:spacing w:val="11"/>
        </w:rPr>
        <w:t>“..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i/>
        </w:rPr>
        <w:t>excluded</w:t>
      </w:r>
      <w:r>
        <w:rPr>
          <w:rFonts w:ascii="Times New Roman" w:hAnsi="Times New Roman"/>
          <w:i/>
          <w:spacing w:val="-7"/>
        </w:rPr>
        <w:t> </w:t>
      </w:r>
      <w:r>
        <w:rPr>
          <w:rFonts w:ascii="Times New Roman" w:hAnsi="Times New Roman"/>
          <w:i/>
        </w:rPr>
        <w:t>classical</w:t>
      </w:r>
      <w:r>
        <w:rPr>
          <w:rFonts w:ascii="Times New Roman" w:hAnsi="Times New Roman"/>
          <w:i/>
          <w:spacing w:val="-8"/>
        </w:rPr>
        <w:t> </w:t>
      </w:r>
      <w:r>
        <w:rPr>
          <w:rFonts w:ascii="Times New Roman" w:hAnsi="Times New Roman"/>
          <w:i/>
        </w:rPr>
        <w:t>Alpers hepatopathy by liver biopsy</w:t>
      </w:r>
      <w:r>
        <w:rPr>
          <w:rFonts w:ascii="Times New Roman" w:hAnsi="Times New Roman"/>
        </w:rPr>
        <w:t>” </w:t>
      </w:r>
      <w:r>
        <w:rPr/>
        <w:t>in MHCS, exact </w:t>
      </w:r>
      <w:r>
        <w:rPr/>
        <w:t>pathologi- cal ﬁndings were not provided by the authors. Diﬀerences in the hepatopathy observed in these two phenotypes have not been established; pathological characteristics of the liver in Alpers syndrome include </w:t>
      </w:r>
      <w:r>
        <w:rPr>
          <w:spacing w:val="-2"/>
        </w:rPr>
        <w:t>ﬁbrosis,</w:t>
      </w:r>
      <w:r>
        <w:rPr>
          <w:spacing w:val="-2"/>
        </w:rPr>
        <w:t> regenerative</w:t>
      </w:r>
      <w:r>
        <w:rPr>
          <w:spacing w:val="-2"/>
        </w:rPr>
        <w:t> nodules,</w:t>
      </w:r>
      <w:r>
        <w:rPr>
          <w:spacing w:val="-2"/>
        </w:rPr>
        <w:t> hepatocyte</w:t>
      </w:r>
      <w:r>
        <w:rPr>
          <w:spacing w:val="-2"/>
        </w:rPr>
        <w:t> dropout,</w:t>
      </w:r>
      <w:r>
        <w:rPr>
          <w:spacing w:val="-2"/>
        </w:rPr>
        <w:t> bile </w:t>
      </w:r>
      <w:r>
        <w:rPr/>
        <w:t>duct proliferation, fatty changes, and bile stasis </w:t>
      </w:r>
      <w:hyperlink w:history="true" w:anchor="_bookmark20">
        <w:r>
          <w:rPr>
            <w:color w:val="007FAD"/>
          </w:rPr>
          <w:t>[14]</w:t>
        </w:r>
      </w:hyperlink>
      <w:r>
        <w:rPr/>
        <w:t>.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spacing w:val="-4"/>
        </w:rPr>
        <w:t>ﬁndings</w:t>
      </w:r>
      <w:r>
        <w:rPr>
          <w:spacing w:val="-5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present</w:t>
      </w:r>
      <w:r>
        <w:rPr>
          <w:spacing w:val="-5"/>
        </w:rPr>
        <w:t> </w:t>
      </w:r>
      <w:r>
        <w:rPr>
          <w:spacing w:val="-4"/>
        </w:rPr>
        <w:t>patient</w:t>
      </w:r>
      <w:r>
        <w:rPr>
          <w:spacing w:val="-7"/>
        </w:rPr>
        <w:t> </w:t>
      </w:r>
      <w:r>
        <w:rPr>
          <w:spacing w:val="-4"/>
        </w:rPr>
        <w:t>were</w:t>
      </w:r>
      <w:r>
        <w:rPr>
          <w:spacing w:val="-6"/>
        </w:rPr>
        <w:t> </w:t>
      </w:r>
      <w:r>
        <w:rPr>
          <w:spacing w:val="-4"/>
        </w:rPr>
        <w:t>compatible</w:t>
      </w:r>
      <w:r>
        <w:rPr>
          <w:spacing w:val="-6"/>
        </w:rPr>
        <w:t> </w:t>
      </w:r>
      <w:r>
        <w:rPr>
          <w:spacing w:val="-4"/>
        </w:rPr>
        <w:t>with </w:t>
      </w:r>
      <w:r>
        <w:rPr/>
        <w:t>those of Alpers syndrome, similar to the case of</w:t>
      </w:r>
      <w:r>
        <w:rPr>
          <w:spacing w:val="40"/>
        </w:rPr>
        <w:t> </w:t>
      </w:r>
      <w:r>
        <w:rPr/>
        <w:t>POLG-related MDDS previously observed </w:t>
      </w:r>
      <w:hyperlink w:history="true" w:anchor="_bookmark21">
        <w:r>
          <w:rPr>
            <w:color w:val="007FAD"/>
          </w:rPr>
          <w:t>[15]</w:t>
        </w:r>
      </w:hyperlink>
      <w:r>
        <w:rPr/>
        <w:t>. As for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neuropathological</w:t>
      </w:r>
      <w:r>
        <w:rPr>
          <w:spacing w:val="-6"/>
        </w:rPr>
        <w:t> </w:t>
      </w:r>
      <w:r>
        <w:rPr>
          <w:spacing w:val="-4"/>
        </w:rPr>
        <w:t>ﬁndings,</w:t>
      </w:r>
      <w:r>
        <w:rPr>
          <w:spacing w:val="-7"/>
        </w:rPr>
        <w:t> </w:t>
      </w:r>
      <w:r>
        <w:rPr>
          <w:spacing w:val="-4"/>
        </w:rPr>
        <w:t>Alpers</w:t>
      </w:r>
      <w:r>
        <w:rPr>
          <w:spacing w:val="-7"/>
        </w:rPr>
        <w:t> </w:t>
      </w:r>
      <w:r>
        <w:rPr>
          <w:spacing w:val="-4"/>
        </w:rPr>
        <w:t>syndrome</w:t>
      </w:r>
      <w:r>
        <w:rPr>
          <w:spacing w:val="-7"/>
        </w:rPr>
        <w:t> </w:t>
      </w:r>
      <w:r>
        <w:rPr>
          <w:spacing w:val="-4"/>
        </w:rPr>
        <w:t>usually shows</w:t>
      </w:r>
      <w:r>
        <w:rPr>
          <w:spacing w:val="-5"/>
        </w:rPr>
        <w:t> </w:t>
      </w:r>
      <w:r>
        <w:rPr>
          <w:spacing w:val="-4"/>
        </w:rPr>
        <w:t>a</w:t>
      </w:r>
      <w:r>
        <w:rPr>
          <w:spacing w:val="-6"/>
        </w:rPr>
        <w:t> </w:t>
      </w:r>
      <w:r>
        <w:rPr>
          <w:spacing w:val="-4"/>
        </w:rPr>
        <w:t>preferential</w:t>
      </w:r>
      <w:r>
        <w:rPr>
          <w:spacing w:val="-5"/>
        </w:rPr>
        <w:t> </w:t>
      </w:r>
      <w:r>
        <w:rPr>
          <w:spacing w:val="-4"/>
        </w:rPr>
        <w:t>involvement of gray</w:t>
      </w:r>
      <w:r>
        <w:rPr>
          <w:spacing w:val="-5"/>
        </w:rPr>
        <w:t> </w:t>
      </w:r>
      <w:r>
        <w:rPr>
          <w:spacing w:val="-4"/>
        </w:rPr>
        <w:t>matter,</w:t>
      </w:r>
      <w:r>
        <w:rPr>
          <w:spacing w:val="-5"/>
        </w:rPr>
        <w:t> </w:t>
      </w:r>
      <w:r>
        <w:rPr>
          <w:spacing w:val="-4"/>
        </w:rPr>
        <w:t>charac- </w:t>
      </w:r>
      <w:r>
        <w:rPr/>
        <w:t>terized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gliosis,</w:t>
      </w:r>
      <w:r>
        <w:rPr>
          <w:spacing w:val="-7"/>
        </w:rPr>
        <w:t> </w:t>
      </w:r>
      <w:r>
        <w:rPr/>
        <w:t>nerve</w:t>
      </w:r>
      <w:r>
        <w:rPr>
          <w:spacing w:val="-7"/>
        </w:rPr>
        <w:t> </w:t>
      </w:r>
      <w:r>
        <w:rPr/>
        <w:t>cell</w:t>
      </w:r>
      <w:r>
        <w:rPr>
          <w:spacing w:val="-7"/>
        </w:rPr>
        <w:t> </w:t>
      </w:r>
      <w:r>
        <w:rPr/>
        <w:t>loss,</w:t>
      </w:r>
      <w:r>
        <w:rPr>
          <w:spacing w:val="-7"/>
        </w:rPr>
        <w:t> </w:t>
      </w:r>
      <w:r>
        <w:rPr/>
        <w:t>spongy</w:t>
      </w:r>
      <w:r>
        <w:rPr>
          <w:spacing w:val="-7"/>
        </w:rPr>
        <w:t> </w:t>
      </w:r>
      <w:r>
        <w:rPr/>
        <w:t>degeneration,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accumulation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neural</w:t>
      </w:r>
      <w:r>
        <w:rPr>
          <w:spacing w:val="-4"/>
        </w:rPr>
        <w:t> </w:t>
      </w:r>
      <w:r>
        <w:rPr>
          <w:spacing w:val="-2"/>
        </w:rPr>
        <w:t>lipids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cerebral</w:t>
      </w:r>
      <w:r>
        <w:rPr>
          <w:spacing w:val="-5"/>
        </w:rPr>
        <w:t> </w:t>
      </w:r>
      <w:r>
        <w:rPr>
          <w:spacing w:val="-2"/>
        </w:rPr>
        <w:t>cortex </w:t>
      </w:r>
      <w:hyperlink w:history="true" w:anchor="_bookmark22">
        <w:r>
          <w:rPr>
            <w:color w:val="007FAD"/>
          </w:rPr>
          <w:t>[16]</w:t>
        </w:r>
      </w:hyperlink>
      <w:r>
        <w:rPr/>
        <w:t>. Alzheimer type II glia, representing hepatic </w:t>
      </w:r>
      <w:r>
        <w:rPr>
          <w:spacing w:val="-2"/>
        </w:rPr>
        <w:t>encephalopathy,</w:t>
      </w:r>
      <w:r>
        <w:rPr>
          <w:spacing w:val="-2"/>
        </w:rPr>
        <w:t> was</w:t>
      </w:r>
      <w:r>
        <w:rPr>
          <w:spacing w:val="-2"/>
        </w:rPr>
        <w:t> also</w:t>
      </w:r>
      <w:r>
        <w:rPr>
          <w:spacing w:val="-2"/>
        </w:rPr>
        <w:t> distributed</w:t>
      </w:r>
      <w:r>
        <w:rPr>
          <w:spacing w:val="-2"/>
        </w:rPr>
        <w:t> predominantly</w:t>
      </w:r>
      <w:r>
        <w:rPr>
          <w:spacing w:val="-2"/>
        </w:rPr>
        <w:t> in </w:t>
      </w:r>
      <w:r>
        <w:rPr/>
        <w:t>the gray matter </w:t>
      </w:r>
      <w:hyperlink w:history="true" w:anchor="_bookmark23">
        <w:r>
          <w:rPr>
            <w:color w:val="007FAD"/>
          </w:rPr>
          <w:t>[17]</w:t>
        </w:r>
      </w:hyperlink>
      <w:r>
        <w:rPr/>
        <w:t>.</w:t>
      </w:r>
    </w:p>
    <w:p>
      <w:pPr>
        <w:pStyle w:val="BodyText"/>
        <w:spacing w:line="252" w:lineRule="auto" w:before="6"/>
        <w:ind w:left="142" w:right="302" w:firstLine="241"/>
        <w:jc w:val="both"/>
      </w:pPr>
      <w:r>
        <w:rPr/>
        <w:t>A</w:t>
      </w:r>
      <w:r>
        <w:rPr>
          <w:spacing w:val="-10"/>
        </w:rPr>
        <w:t> </w:t>
      </w:r>
      <w:r>
        <w:rPr/>
        <w:t>patient</w:t>
      </w:r>
      <w:r>
        <w:rPr>
          <w:spacing w:val="-10"/>
        </w:rPr>
        <w:t> </w:t>
      </w:r>
      <w:r>
        <w:rPr/>
        <w:t>exhibiting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clinical</w:t>
      </w:r>
      <w:r>
        <w:rPr>
          <w:spacing w:val="-9"/>
        </w:rPr>
        <w:t> </w:t>
      </w:r>
      <w:r>
        <w:rPr/>
        <w:t>evolution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MCHS to Alpers phenotype showed gray matter involvement and</w:t>
      </w:r>
      <w:r>
        <w:rPr>
          <w:spacing w:val="-10"/>
        </w:rPr>
        <w:t> </w:t>
      </w:r>
      <w:r>
        <w:rPr/>
        <w:t>microscopic</w:t>
      </w:r>
      <w:r>
        <w:rPr>
          <w:spacing w:val="-9"/>
        </w:rPr>
        <w:t> </w:t>
      </w:r>
      <w:r>
        <w:rPr/>
        <w:t>ﬁndings</w:t>
      </w:r>
      <w:r>
        <w:rPr>
          <w:spacing w:val="-9"/>
        </w:rPr>
        <w:t> </w:t>
      </w:r>
      <w:r>
        <w:rPr/>
        <w:t>similar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those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Leigh</w:t>
      </w:r>
      <w:r>
        <w:rPr>
          <w:spacing w:val="-9"/>
        </w:rPr>
        <w:t> </w:t>
      </w:r>
      <w:r>
        <w:rPr/>
        <w:t>syn- drome </w:t>
      </w:r>
      <w:hyperlink w:history="true" w:anchor="_bookmark16">
        <w:r>
          <w:rPr>
            <w:color w:val="007FAD"/>
          </w:rPr>
          <w:t>[5]</w:t>
        </w:r>
      </w:hyperlink>
      <w:r>
        <w:rPr/>
        <w:t>, and brain biopsy in another Alpers patient with prominent white matter signal change revealed pathological characteristics typical of Alpers disease with intractable seizures </w:t>
      </w:r>
      <w:hyperlink w:history="true" w:anchor="_bookmark24">
        <w:r>
          <w:rPr>
            <w:color w:val="007FAD"/>
          </w:rPr>
          <w:t>[18]</w:t>
        </w:r>
      </w:hyperlink>
      <w:r>
        <w:rPr/>
        <w:t>. On the other hand, marked gliosis and sponginess of the white matter without pathological changes in the cerebral cortex was observed in a patient with probable MCHS </w:t>
      </w:r>
      <w:hyperlink w:history="true" w:anchor="_bookmark23">
        <w:r>
          <w:rPr>
            <w:color w:val="007FAD"/>
          </w:rPr>
          <w:t>[17]</w:t>
        </w:r>
      </w:hyperlink>
      <w:r>
        <w:rPr/>
        <w:t>. Apart from these, we could not ﬁnd any MCHS cases with a neuropathological description in the literature. The white matter-predominant spongy degeneration </w:t>
      </w:r>
      <w:r>
        <w:rPr>
          <w:spacing w:val="-4"/>
        </w:rPr>
        <w:t>with</w:t>
      </w:r>
      <w:r>
        <w:rPr>
          <w:spacing w:val="-9"/>
        </w:rPr>
        <w:t> </w:t>
      </w:r>
      <w:r>
        <w:rPr>
          <w:spacing w:val="-4"/>
        </w:rPr>
        <w:t>Alzheimer</w:t>
      </w:r>
      <w:r>
        <w:rPr>
          <w:spacing w:val="-8"/>
        </w:rPr>
        <w:t> </w:t>
      </w:r>
      <w:r>
        <w:rPr>
          <w:spacing w:val="-4"/>
        </w:rPr>
        <w:t>type</w:t>
      </w:r>
      <w:r>
        <w:rPr>
          <w:spacing w:val="-8"/>
        </w:rPr>
        <w:t> </w:t>
      </w:r>
      <w:r>
        <w:rPr>
          <w:spacing w:val="-4"/>
        </w:rPr>
        <w:t>II</w:t>
      </w:r>
      <w:r>
        <w:rPr>
          <w:spacing w:val="-7"/>
        </w:rPr>
        <w:t> </w:t>
      </w:r>
      <w:r>
        <w:rPr>
          <w:spacing w:val="-4"/>
        </w:rPr>
        <w:t>astrocytosis</w:t>
      </w:r>
      <w:r>
        <w:rPr>
          <w:spacing w:val="-8"/>
        </w:rPr>
        <w:t> </w:t>
      </w:r>
      <w:r>
        <w:rPr>
          <w:spacing w:val="-4"/>
        </w:rPr>
        <w:t>in</w:t>
      </w:r>
      <w:r>
        <w:rPr>
          <w:spacing w:val="-8"/>
        </w:rPr>
        <w:t> </w:t>
      </w:r>
      <w:r>
        <w:rPr>
          <w:spacing w:val="-4"/>
        </w:rPr>
        <w:t>the</w:t>
      </w:r>
      <w:r>
        <w:rPr>
          <w:spacing w:val="-8"/>
        </w:rPr>
        <w:t> </w:t>
      </w:r>
      <w:r>
        <w:rPr>
          <w:spacing w:val="-4"/>
        </w:rPr>
        <w:t>present</w:t>
      </w:r>
      <w:r>
        <w:rPr>
          <w:spacing w:val="-7"/>
        </w:rPr>
        <w:t> </w:t>
      </w:r>
      <w:r>
        <w:rPr>
          <w:spacing w:val="-4"/>
        </w:rPr>
        <w:t>patient </w:t>
      </w:r>
      <w:r>
        <w:rPr/>
        <w:t>may therefore be characteristic of MCHS.</w:t>
      </w:r>
    </w:p>
    <w:p>
      <w:pPr>
        <w:pStyle w:val="BodyText"/>
        <w:spacing w:after="0" w:line="252" w:lineRule="auto"/>
        <w:jc w:val="both"/>
        <w:sectPr>
          <w:type w:val="continuous"/>
          <w:pgSz w:w="11910" w:h="15880"/>
          <w:pgMar w:header="912" w:footer="0" w:top="360" w:bottom="280" w:left="708" w:right="708"/>
          <w:cols w:num="2" w:equalWidth="0">
            <w:col w:w="4965" w:space="295"/>
            <w:col w:w="5234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after="0"/>
        <w:rPr>
          <w:sz w:val="14"/>
        </w:rPr>
        <w:sectPr>
          <w:pgSz w:w="11910" w:h="15880"/>
          <w:pgMar w:header="912" w:footer="0" w:top="1100" w:bottom="280" w:left="708" w:right="708"/>
        </w:sectPr>
      </w:pPr>
    </w:p>
    <w:p>
      <w:pPr>
        <w:pStyle w:val="BodyText"/>
        <w:spacing w:line="252" w:lineRule="auto" w:before="72"/>
        <w:ind w:left="304" w:right="39" w:firstLine="241"/>
        <w:jc w:val="both"/>
      </w:pPr>
      <w:bookmarkStart w:name="_bookmark16" w:id="24"/>
      <w:bookmarkEnd w:id="24"/>
      <w:r>
        <w:rPr/>
      </w:r>
      <w:bookmarkStart w:name="_bookmark17" w:id="25"/>
      <w:bookmarkEnd w:id="25"/>
      <w:r>
        <w:rPr/>
      </w:r>
      <w:bookmarkStart w:name="_bookmark18" w:id="26"/>
      <w:bookmarkEnd w:id="26"/>
      <w:r>
        <w:rPr/>
      </w:r>
      <w:r>
        <w:rPr/>
        <w:t>POLG</w:t>
      </w:r>
      <w:r>
        <w:rPr>
          <w:spacing w:val="-13"/>
        </w:rPr>
        <w:t> </w:t>
      </w:r>
      <w:r>
        <w:rPr/>
        <w:t>disorders</w:t>
      </w:r>
      <w:r>
        <w:rPr>
          <w:spacing w:val="-12"/>
        </w:rPr>
        <w:t> </w:t>
      </w:r>
      <w:r>
        <w:rPr/>
        <w:t>often</w:t>
      </w:r>
      <w:r>
        <w:rPr>
          <w:spacing w:val="-12"/>
        </w:rPr>
        <w:t> </w:t>
      </w:r>
      <w:r>
        <w:rPr/>
        <w:t>show</w:t>
      </w:r>
      <w:r>
        <w:rPr>
          <w:spacing w:val="-12"/>
        </w:rPr>
        <w:t> </w:t>
      </w:r>
      <w:r>
        <w:rPr/>
        <w:t>elevated</w:t>
      </w:r>
      <w:r>
        <w:rPr>
          <w:spacing w:val="-12"/>
        </w:rPr>
        <w:t> </w:t>
      </w:r>
      <w:r>
        <w:rPr/>
        <w:t>levels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lactate both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serum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CSF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elevated</w:t>
      </w:r>
      <w:r>
        <w:rPr>
          <w:spacing w:val="-3"/>
        </w:rPr>
        <w:t> </w:t>
      </w:r>
      <w:r>
        <w:rPr/>
        <w:t>levels</w:t>
      </w:r>
      <w:r>
        <w:rPr>
          <w:spacing w:val="-4"/>
        </w:rPr>
        <w:t> </w:t>
      </w:r>
      <w:r>
        <w:rPr/>
        <w:t>of hepatic</w:t>
      </w:r>
      <w:r>
        <w:rPr>
          <w:spacing w:val="-4"/>
        </w:rPr>
        <w:t> </w:t>
      </w:r>
      <w:r>
        <w:rPr/>
        <w:t>enzymes.</w:t>
      </w:r>
      <w:r>
        <w:rPr>
          <w:spacing w:val="-5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ﬁndings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spe- </w:t>
      </w:r>
      <w:bookmarkStart w:name="Acknowledgements" w:id="27"/>
      <w:bookmarkEnd w:id="27"/>
      <w:r>
        <w:rPr/>
        <w:t>ciﬁc</w:t>
      </w:r>
      <w:r>
        <w:rPr/>
        <w:t> for</w:t>
      </w:r>
      <w:r>
        <w:rPr>
          <w:spacing w:val="-1"/>
        </w:rPr>
        <w:t> </w:t>
      </w:r>
      <w:r>
        <w:rPr/>
        <w:t>POLG disorders; rather,</w:t>
      </w:r>
      <w:r>
        <w:rPr>
          <w:spacing w:val="-1"/>
        </w:rPr>
        <w:t> </w:t>
      </w:r>
      <w:r>
        <w:rPr/>
        <w:t>they are</w:t>
      </w:r>
      <w:r>
        <w:rPr>
          <w:spacing w:val="-1"/>
        </w:rPr>
        <w:t> </w:t>
      </w:r>
      <w:r>
        <w:rPr/>
        <w:t>hallmarks of mitochondrial disorders. Analysis of the RCC enzyme activity is the most valuable test for diagnosis of </w:t>
      </w:r>
      <w:bookmarkStart w:name="_bookmark19" w:id="28"/>
      <w:bookmarkEnd w:id="28"/>
      <w:r>
        <w:rPr/>
        <w:t>MDDS.</w:t>
      </w:r>
      <w:r>
        <w:rPr/>
        <w:t> However, RCC enzyme activity varies among muscle, liver, kidney, and brain tissues in the same </w:t>
      </w:r>
      <w:r>
        <w:rPr>
          <w:spacing w:val="-2"/>
        </w:rPr>
        <w:t>patient</w:t>
      </w:r>
      <w:r>
        <w:rPr>
          <w:spacing w:val="-9"/>
        </w:rPr>
        <w:t> </w:t>
      </w:r>
      <w:hyperlink w:history="true" w:anchor="_bookmark14">
        <w:r>
          <w:rPr>
            <w:color w:val="007FAD"/>
            <w:spacing w:val="-2"/>
          </w:rPr>
          <w:t>[1,19]</w:t>
        </w:r>
      </w:hyperlink>
      <w:r>
        <w:rPr>
          <w:spacing w:val="-2"/>
        </w:rPr>
        <w:t>,</w:t>
      </w:r>
      <w:r>
        <w:rPr>
          <w:spacing w:val="-9"/>
        </w:rPr>
        <w:t> </w:t>
      </w:r>
      <w:r>
        <w:rPr>
          <w:spacing w:val="-2"/>
        </w:rPr>
        <w:t>presumably</w:t>
      </w:r>
      <w:r>
        <w:rPr>
          <w:spacing w:val="-9"/>
        </w:rPr>
        <w:t> </w:t>
      </w:r>
      <w:r>
        <w:rPr>
          <w:spacing w:val="-2"/>
        </w:rPr>
        <w:t>due</w:t>
      </w:r>
      <w:r>
        <w:rPr>
          <w:spacing w:val="-9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the</w:t>
      </w:r>
      <w:r>
        <w:rPr>
          <w:spacing w:val="-9"/>
        </w:rPr>
        <w:t> </w:t>
      </w:r>
      <w:r>
        <w:rPr>
          <w:spacing w:val="-2"/>
        </w:rPr>
        <w:t>diﬀerential</w:t>
      </w:r>
      <w:r>
        <w:rPr>
          <w:spacing w:val="-9"/>
        </w:rPr>
        <w:t> </w:t>
      </w:r>
      <w:r>
        <w:rPr>
          <w:spacing w:val="-2"/>
        </w:rPr>
        <w:t>degree </w:t>
      </w:r>
      <w:bookmarkStart w:name="_bookmark20" w:id="29"/>
      <w:bookmarkEnd w:id="29"/>
      <w:r>
        <w:rPr/>
        <w:t>of</w:t>
      </w:r>
      <w:r>
        <w:rPr/>
        <w:t> DNA depletion among individual organs. The con- </w:t>
      </w:r>
      <w:r>
        <w:rPr>
          <w:spacing w:val="-4"/>
        </w:rPr>
        <w:t>stituents</w:t>
      </w:r>
      <w:r>
        <w:rPr>
          <w:spacing w:val="-9"/>
        </w:rPr>
        <w:t> </w:t>
      </w:r>
      <w:r>
        <w:rPr>
          <w:spacing w:val="-4"/>
        </w:rPr>
        <w:t>of</w:t>
      </w:r>
      <w:r>
        <w:rPr>
          <w:spacing w:val="-7"/>
        </w:rPr>
        <w:t> </w:t>
      </w:r>
      <w:r>
        <w:rPr>
          <w:spacing w:val="-4"/>
        </w:rPr>
        <w:t>complex</w:t>
      </w:r>
      <w:r>
        <w:rPr>
          <w:spacing w:val="-7"/>
        </w:rPr>
        <w:t> </w:t>
      </w:r>
      <w:r>
        <w:rPr>
          <w:spacing w:val="-4"/>
        </w:rPr>
        <w:t>II</w:t>
      </w:r>
      <w:r>
        <w:rPr>
          <w:spacing w:val="-7"/>
        </w:rPr>
        <w:t> </w:t>
      </w:r>
      <w:r>
        <w:rPr>
          <w:spacing w:val="-4"/>
        </w:rPr>
        <w:t>are</w:t>
      </w:r>
      <w:r>
        <w:rPr>
          <w:spacing w:val="-8"/>
        </w:rPr>
        <w:t> </w:t>
      </w:r>
      <w:r>
        <w:rPr>
          <w:spacing w:val="-4"/>
        </w:rPr>
        <w:t>coded</w:t>
      </w:r>
      <w:r>
        <w:rPr>
          <w:spacing w:val="-8"/>
        </w:rPr>
        <w:t> </w:t>
      </w:r>
      <w:r>
        <w:rPr>
          <w:spacing w:val="-4"/>
        </w:rPr>
        <w:t>by</w:t>
      </w:r>
      <w:r>
        <w:rPr>
          <w:spacing w:val="-8"/>
        </w:rPr>
        <w:t> </w:t>
      </w:r>
      <w:r>
        <w:rPr>
          <w:spacing w:val="-4"/>
        </w:rPr>
        <w:t>genes</w:t>
      </w:r>
      <w:r>
        <w:rPr>
          <w:spacing w:val="-7"/>
        </w:rPr>
        <w:t> </w:t>
      </w:r>
      <w:r>
        <w:rPr>
          <w:spacing w:val="-4"/>
        </w:rPr>
        <w:t>in</w:t>
      </w:r>
      <w:r>
        <w:rPr>
          <w:spacing w:val="-9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spacing w:val="-4"/>
        </w:rPr>
        <w:t>nuclear, </w:t>
      </w:r>
      <w:r>
        <w:rPr/>
        <w:t>not mitochondrial DNA. In the present patient, the </w:t>
      </w:r>
      <w:bookmarkStart w:name="_bookmark21" w:id="30"/>
      <w:bookmarkEnd w:id="30"/>
      <w:r>
        <w:rPr/>
        <w:t>decrea</w:t>
      </w:r>
      <w:r>
        <w:rPr/>
        <w:t>sed complex II enzyme activity in the biopsied liver may either result from augmented activity of </w:t>
      </w:r>
      <w:bookmarkStart w:name="_bookmark22" w:id="31"/>
      <w:bookmarkEnd w:id="31"/>
      <w:r>
        <w:rPr/>
        <w:t>co</w:t>
      </w:r>
      <w:r>
        <w:rPr/>
        <w:t>ntrol</w:t>
      </w:r>
      <w:r>
        <w:rPr>
          <w:spacing w:val="-2"/>
        </w:rPr>
        <w:t> </w:t>
      </w:r>
      <w:r>
        <w:rPr/>
        <w:t>CS</w:t>
      </w:r>
      <w:r>
        <w:rPr>
          <w:spacing w:val="-2"/>
        </w:rPr>
        <w:t> </w:t>
      </w:r>
      <w:r>
        <w:rPr/>
        <w:t>enzyme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mitochondria in number, or may be secondary to the damage of hepatocytes with necrotic and ﬁbrotic changes </w:t>
      </w:r>
      <w:hyperlink w:history="true" w:anchor="_bookmark25">
        <w:r>
          <w:rPr>
            <w:color w:val="007FAD"/>
          </w:rPr>
          <w:t>[19]</w:t>
        </w:r>
      </w:hyperlink>
      <w:r>
        <w:rPr/>
        <w:t>. It is very important to keep in mind that morphological </w:t>
      </w:r>
      <w:bookmarkStart w:name="References" w:id="32"/>
      <w:bookmarkEnd w:id="32"/>
      <w:r>
        <w:rPr>
          <w:w w:val="95"/>
        </w:rPr>
      </w:r>
      <w:bookmarkStart w:name="_bookmark23" w:id="33"/>
      <w:bookmarkEnd w:id="33"/>
      <w:r>
        <w:rPr/>
        <w:t>ﬁnd</w:t>
      </w:r>
      <w:r>
        <w:rPr/>
        <w:t>ings and RCC enzyme activities in the muscle are sometimes unremarkable in MCHS patients, even </w:t>
      </w:r>
      <w:bookmarkStart w:name="_bookmark14" w:id="34"/>
      <w:bookmarkEnd w:id="34"/>
      <w:r>
        <w:rPr/>
        <w:t>tho</w:t>
      </w:r>
      <w:r>
        <w:rPr/>
        <w:t>ugh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show</w:t>
      </w:r>
      <w:r>
        <w:rPr>
          <w:spacing w:val="-6"/>
        </w:rPr>
        <w:t> </w:t>
      </w:r>
      <w:r>
        <w:rPr/>
        <w:t>hypotonia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muscular</w:t>
      </w:r>
      <w:r>
        <w:rPr>
          <w:spacing w:val="-7"/>
        </w:rPr>
        <w:t> </w:t>
      </w:r>
      <w:r>
        <w:rPr/>
        <w:t>weakness,</w:t>
      </w:r>
      <w:r>
        <w:rPr>
          <w:spacing w:val="-6"/>
        </w:rPr>
        <w:t> </w:t>
      </w:r>
      <w:r>
        <w:rPr/>
        <w:t>as </w:t>
      </w:r>
      <w:bookmarkStart w:name="_bookmark24" w:id="35"/>
      <w:bookmarkEnd w:id="35"/>
      <w:r>
        <w:rPr/>
        <w:t>in</w:t>
      </w:r>
      <w:r>
        <w:rPr/>
        <w:t> the present case </w:t>
      </w:r>
      <w:hyperlink w:history="true" w:anchor="_bookmark16">
        <w:r>
          <w:rPr>
            <w:color w:val="007FAD"/>
          </w:rPr>
          <w:t>[5,15,20]</w:t>
        </w:r>
      </w:hyperlink>
      <w:r>
        <w:rPr/>
        <w:t>. Therefore, analysis of RCC</w:t>
      </w:r>
      <w:r>
        <w:rPr>
          <w:spacing w:val="-13"/>
        </w:rPr>
        <w:t> </w:t>
      </w:r>
      <w:r>
        <w:rPr/>
        <w:t>enzyme</w:t>
      </w:r>
      <w:r>
        <w:rPr>
          <w:spacing w:val="-12"/>
        </w:rPr>
        <w:t> </w:t>
      </w:r>
      <w:r>
        <w:rPr/>
        <w:t>activities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liver</w:t>
      </w:r>
      <w:r>
        <w:rPr>
          <w:spacing w:val="-12"/>
        </w:rPr>
        <w:t> </w:t>
      </w:r>
      <w:r>
        <w:rPr/>
        <w:t>should</w:t>
      </w:r>
      <w:r>
        <w:rPr>
          <w:spacing w:val="-12"/>
        </w:rPr>
        <w:t> </w:t>
      </w:r>
      <w:r>
        <w:rPr/>
        <w:t>be</w:t>
      </w:r>
      <w:r>
        <w:rPr>
          <w:spacing w:val="-12"/>
        </w:rPr>
        <w:t> </w:t>
      </w:r>
      <w:r>
        <w:rPr/>
        <w:t>considered </w:t>
      </w:r>
      <w:bookmarkStart w:name="_bookmark15" w:id="36"/>
      <w:bookmarkEnd w:id="36"/>
      <w:r>
        <w:rPr>
          <w:w w:val="93"/>
        </w:rPr>
      </w:r>
      <w:bookmarkStart w:name="_bookmark25" w:id="37"/>
      <w:bookmarkEnd w:id="37"/>
      <w:r>
        <w:rPr/>
        <w:t>when</w:t>
      </w:r>
      <w:r>
        <w:rPr/>
        <w:t> Alpers syndrome or MCHS disorders are sus- </w:t>
      </w:r>
      <w:r>
        <w:rPr>
          <w:spacing w:val="-2"/>
        </w:rPr>
        <w:t>pected,</w:t>
      </w:r>
      <w:r>
        <w:rPr>
          <w:spacing w:val="-11"/>
        </w:rPr>
        <w:t> </w:t>
      </w:r>
      <w:r>
        <w:rPr>
          <w:spacing w:val="-2"/>
        </w:rPr>
        <w:t>even</w:t>
      </w:r>
      <w:r>
        <w:rPr>
          <w:spacing w:val="-10"/>
        </w:rPr>
        <w:t> </w:t>
      </w:r>
      <w:r>
        <w:rPr>
          <w:spacing w:val="-2"/>
        </w:rPr>
        <w:t>when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morphological</w:t>
      </w:r>
      <w:r>
        <w:rPr>
          <w:spacing w:val="-10"/>
        </w:rPr>
        <w:t> </w:t>
      </w:r>
      <w:r>
        <w:rPr>
          <w:spacing w:val="-2"/>
        </w:rPr>
        <w:t>ﬁndings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muscle </w:t>
      </w:r>
      <w:r>
        <w:rPr/>
        <w:t>or enzyme assay results are unremarkable.</w:t>
      </w:r>
    </w:p>
    <w:p>
      <w:pPr>
        <w:pStyle w:val="BodyText"/>
        <w:spacing w:before="148"/>
      </w:pPr>
    </w:p>
    <w:p>
      <w:pPr>
        <w:pStyle w:val="BodyText"/>
        <w:ind w:left="306"/>
        <w:rPr>
          <w:rFonts w:ascii="Times New Roman"/>
        </w:rPr>
      </w:pPr>
      <w:bookmarkStart w:name="_bookmark26" w:id="38"/>
      <w:bookmarkEnd w:id="38"/>
      <w:r>
        <w:rPr/>
      </w:r>
      <w:r>
        <w:rPr>
          <w:rFonts w:ascii="Times New Roman"/>
          <w:spacing w:val="-2"/>
        </w:rPr>
        <w:t>Acknowledgements</w:t>
      </w:r>
    </w:p>
    <w:p>
      <w:pPr>
        <w:pStyle w:val="BodyText"/>
        <w:spacing w:before="21"/>
        <w:rPr>
          <w:rFonts w:ascii="Times New Roman"/>
        </w:rPr>
      </w:pPr>
    </w:p>
    <w:p>
      <w:pPr>
        <w:pStyle w:val="BodyText"/>
        <w:spacing w:line="252" w:lineRule="auto"/>
        <w:ind w:left="304" w:right="39" w:firstLine="241"/>
        <w:jc w:val="both"/>
      </w:pPr>
      <w:r>
        <w:rPr/>
        <w:t>This</w:t>
      </w:r>
      <w:r>
        <w:rPr>
          <w:spacing w:val="-13"/>
        </w:rPr>
        <w:t> </w:t>
      </w:r>
      <w:r>
        <w:rPr/>
        <w:t>study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supported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part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grant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 Research Program of Innovative Cell Biology </w:t>
      </w:r>
      <w:r>
        <w:rPr/>
        <w:t>by </w:t>
      </w:r>
      <w:r>
        <w:rPr>
          <w:spacing w:val="-4"/>
        </w:rPr>
        <w:t>Innovative</w:t>
      </w:r>
      <w:r>
        <w:rPr>
          <w:spacing w:val="-7"/>
        </w:rPr>
        <w:t> </w:t>
      </w:r>
      <w:r>
        <w:rPr>
          <w:spacing w:val="-4"/>
        </w:rPr>
        <w:t>Technology</w:t>
      </w:r>
      <w:r>
        <w:rPr>
          <w:spacing w:val="-7"/>
        </w:rPr>
        <w:t> </w:t>
      </w:r>
      <w:r>
        <w:rPr>
          <w:spacing w:val="-4"/>
        </w:rPr>
        <w:t>(Cell</w:t>
      </w:r>
      <w:r>
        <w:rPr>
          <w:spacing w:val="-6"/>
        </w:rPr>
        <w:t> </w:t>
      </w:r>
      <w:r>
        <w:rPr>
          <w:spacing w:val="-4"/>
        </w:rPr>
        <w:t>Innovation),</w:t>
      </w:r>
      <w:r>
        <w:rPr>
          <w:spacing w:val="-6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Grant-in-Aid </w:t>
      </w:r>
      <w:r>
        <w:rPr/>
        <w:t>for the Development of New Technology from The Promotion and Mutual Aid Corporation for Private Schools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Japan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MEXT</w:t>
      </w:r>
      <w:r>
        <w:rPr>
          <w:spacing w:val="40"/>
        </w:rPr>
        <w:t> </w:t>
      </w:r>
      <w:r>
        <w:rPr/>
        <w:t>(to</w:t>
      </w:r>
      <w:r>
        <w:rPr>
          <w:spacing w:val="40"/>
        </w:rPr>
        <w:t> </w:t>
      </w:r>
      <w:r>
        <w:rPr/>
        <w:t>Y.</w:t>
      </w:r>
      <w:r>
        <w:rPr>
          <w:spacing w:val="40"/>
        </w:rPr>
        <w:t> </w:t>
      </w:r>
      <w:r>
        <w:rPr/>
        <w:t>Okazaki), Grants-in-Aid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Research</w:t>
      </w:r>
      <w:r>
        <w:rPr>
          <w:spacing w:val="-12"/>
        </w:rPr>
        <w:t> </w:t>
      </w:r>
      <w:r>
        <w:rPr/>
        <w:t>on</w:t>
      </w:r>
      <w:r>
        <w:rPr>
          <w:spacing w:val="-12"/>
        </w:rPr>
        <w:t> </w:t>
      </w:r>
      <w:r>
        <w:rPr/>
        <w:t>Intractable</w:t>
      </w:r>
      <w:r>
        <w:rPr>
          <w:spacing w:val="-12"/>
        </w:rPr>
        <w:t> </w:t>
      </w:r>
      <w:r>
        <w:rPr/>
        <w:t>Diseases (Mitochondrial Disease) from the Ministry of Health, Labour and</w:t>
      </w:r>
      <w:r>
        <w:rPr>
          <w:spacing w:val="-2"/>
        </w:rPr>
        <w:t> </w:t>
      </w:r>
      <w:r>
        <w:rPr/>
        <w:t>Welfare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Japan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A.</w:t>
      </w:r>
      <w:r>
        <w:rPr>
          <w:spacing w:val="-1"/>
        </w:rPr>
        <w:t> </w:t>
      </w:r>
      <w:r>
        <w:rPr/>
        <w:t>Ohtake.</w:t>
      </w:r>
      <w:r>
        <w:rPr>
          <w:spacing w:val="-2"/>
        </w:rPr>
        <w:t> </w:t>
      </w:r>
      <w:r>
        <w:rPr/>
        <w:t>Dr</w:t>
      </w:r>
      <w:r>
        <w:rPr>
          <w:spacing w:val="-1"/>
        </w:rPr>
        <w:t> </w:t>
      </w:r>
      <w:r>
        <w:rPr/>
        <w:t>Muray- </w:t>
      </w:r>
      <w:r>
        <w:rPr>
          <w:spacing w:val="-2"/>
        </w:rPr>
        <w:t>ama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supported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Kawano</w:t>
      </w:r>
      <w:r>
        <w:rPr>
          <w:spacing w:val="-5"/>
        </w:rPr>
        <w:t> </w:t>
      </w:r>
      <w:r>
        <w:rPr>
          <w:spacing w:val="-2"/>
        </w:rPr>
        <w:t>Masanori</w:t>
      </w:r>
      <w:r>
        <w:rPr>
          <w:spacing w:val="-5"/>
        </w:rPr>
        <w:t> </w:t>
      </w:r>
      <w:r>
        <w:rPr>
          <w:spacing w:val="-2"/>
        </w:rPr>
        <w:t>Memorial Public</w:t>
      </w:r>
      <w:r>
        <w:rPr>
          <w:spacing w:val="-10"/>
        </w:rPr>
        <w:t> </w:t>
      </w:r>
      <w:r>
        <w:rPr>
          <w:spacing w:val="-2"/>
        </w:rPr>
        <w:t>Interest</w:t>
      </w:r>
      <w:r>
        <w:rPr>
          <w:spacing w:val="-10"/>
        </w:rPr>
        <w:t> </w:t>
      </w:r>
      <w:r>
        <w:rPr>
          <w:spacing w:val="-2"/>
        </w:rPr>
        <w:t>Incorporated</w:t>
      </w:r>
      <w:r>
        <w:rPr>
          <w:spacing w:val="-10"/>
        </w:rPr>
        <w:t> </w:t>
      </w:r>
      <w:r>
        <w:rPr>
          <w:spacing w:val="-2"/>
        </w:rPr>
        <w:t>Foundation</w:t>
      </w:r>
      <w:r>
        <w:rPr>
          <w:spacing w:val="-9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Promotion </w:t>
      </w:r>
      <w:r>
        <w:rPr/>
        <w:t>of Pediatrics.</w:t>
      </w:r>
    </w:p>
    <w:p>
      <w:pPr>
        <w:pStyle w:val="BodyText"/>
        <w:spacing w:before="185"/>
        <w:ind w:left="306"/>
        <w:rPr>
          <w:rFonts w:ascii="Times New Roman"/>
        </w:rPr>
      </w:pPr>
      <w:r>
        <w:rPr>
          <w:rFonts w:ascii="Times New Roman"/>
          <w:spacing w:val="-2"/>
        </w:rPr>
        <w:t>References</w:t>
      </w:r>
    </w:p>
    <w:p>
      <w:pPr>
        <w:pStyle w:val="BodyText"/>
        <w:spacing w:before="18"/>
        <w:rPr>
          <w:rFonts w:ascii="Times New Roman"/>
        </w:rPr>
      </w:pPr>
    </w:p>
    <w:p>
      <w:pPr>
        <w:pStyle w:val="ListParagraph"/>
        <w:numPr>
          <w:ilvl w:val="0"/>
          <w:numId w:val="2"/>
        </w:numPr>
        <w:tabs>
          <w:tab w:pos="629" w:val="left" w:leader="none"/>
          <w:tab w:pos="631" w:val="left" w:leader="none"/>
        </w:tabs>
        <w:spacing w:line="264" w:lineRule="auto" w:before="0" w:after="0"/>
        <w:ind w:left="631" w:right="38" w:hanging="245"/>
        <w:jc w:val="both"/>
        <w:rPr>
          <w:sz w:val="16"/>
        </w:rPr>
      </w:pPr>
      <w:hyperlink r:id="rId63">
        <w:r>
          <w:rPr>
            <w:color w:val="007FAD"/>
            <w:sz w:val="16"/>
          </w:rPr>
          <w:t>Moraes C, Shanske S, Tritschler HJ, Aprille JR, Andreetta F,</w:t>
        </w:r>
      </w:hyperlink>
      <w:r>
        <w:rPr>
          <w:color w:val="007FAD"/>
          <w:spacing w:val="40"/>
          <w:sz w:val="16"/>
        </w:rPr>
        <w:t> </w:t>
      </w:r>
      <w:hyperlink r:id="rId63">
        <w:r>
          <w:rPr>
            <w:color w:val="007FAD"/>
            <w:spacing w:val="-2"/>
            <w:sz w:val="16"/>
          </w:rPr>
          <w:t>Bonilla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E,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et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al.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mtDNA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depletion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with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variable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tissue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expression:</w:t>
        </w:r>
      </w:hyperlink>
      <w:r>
        <w:rPr>
          <w:color w:val="007FAD"/>
          <w:spacing w:val="40"/>
          <w:sz w:val="16"/>
        </w:rPr>
        <w:t> </w:t>
      </w:r>
      <w:hyperlink r:id="rId63">
        <w:r>
          <w:rPr>
            <w:color w:val="007FAD"/>
            <w:spacing w:val="-4"/>
            <w:sz w:val="16"/>
          </w:rPr>
          <w:t>a novel genetic abnormality in mitochondrial diseases. Am J Hum</w:t>
        </w:r>
      </w:hyperlink>
      <w:r>
        <w:rPr>
          <w:color w:val="007FAD"/>
          <w:spacing w:val="40"/>
          <w:sz w:val="16"/>
        </w:rPr>
        <w:t> </w:t>
      </w:r>
      <w:hyperlink r:id="rId63">
        <w:r>
          <w:rPr>
            <w:color w:val="007FAD"/>
            <w:sz w:val="16"/>
          </w:rPr>
          <w:t>Genet 1991;48:492–501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9" w:val="left" w:leader="none"/>
          <w:tab w:pos="631" w:val="left" w:leader="none"/>
        </w:tabs>
        <w:spacing w:line="264" w:lineRule="auto" w:before="0" w:after="0"/>
        <w:ind w:left="631" w:right="38" w:hanging="245"/>
        <w:jc w:val="both"/>
        <w:rPr>
          <w:sz w:val="16"/>
        </w:rPr>
      </w:pPr>
      <w:hyperlink r:id="rId64">
        <w:r>
          <w:rPr>
            <w:color w:val="007FAD"/>
            <w:sz w:val="16"/>
          </w:rPr>
          <w:t>Sarzi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E,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Bourdon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Chre´tien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D,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Zarhrate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M,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Corcos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J,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Slama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A,</w:t>
        </w:r>
      </w:hyperlink>
      <w:r>
        <w:rPr>
          <w:color w:val="007FAD"/>
          <w:spacing w:val="40"/>
          <w:sz w:val="16"/>
        </w:rPr>
        <w:t> </w:t>
      </w:r>
      <w:hyperlink r:id="rId64">
        <w:r>
          <w:rPr>
            <w:color w:val="007FAD"/>
            <w:sz w:val="16"/>
          </w:rPr>
          <w:t>et al. Mitochondrial DNA depletion is a prevalent cause </w:t>
        </w:r>
        <w:r>
          <w:rPr>
            <w:color w:val="007FAD"/>
            <w:sz w:val="16"/>
          </w:rPr>
          <w:t>of</w:t>
        </w:r>
      </w:hyperlink>
      <w:r>
        <w:rPr>
          <w:color w:val="007FAD"/>
          <w:spacing w:val="40"/>
          <w:sz w:val="16"/>
        </w:rPr>
        <w:t> </w:t>
      </w:r>
      <w:hyperlink r:id="rId64">
        <w:r>
          <w:rPr>
            <w:color w:val="007FAD"/>
            <w:sz w:val="16"/>
          </w:rPr>
          <w:t>multiple respiratory chain deﬁciency in childhood. J Pediatr</w:t>
        </w:r>
      </w:hyperlink>
      <w:r>
        <w:rPr>
          <w:color w:val="007FAD"/>
          <w:spacing w:val="40"/>
          <w:sz w:val="16"/>
        </w:rPr>
        <w:t> </w:t>
      </w:r>
      <w:hyperlink r:id="rId64">
        <w:r>
          <w:rPr>
            <w:color w:val="007FAD"/>
            <w:spacing w:val="-2"/>
            <w:sz w:val="16"/>
          </w:rPr>
          <w:t>2007;150(531–4):e6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9" w:val="left" w:leader="none"/>
          <w:tab w:pos="631" w:val="left" w:leader="none"/>
        </w:tabs>
        <w:spacing w:line="261" w:lineRule="auto" w:before="0" w:after="0"/>
        <w:ind w:left="631" w:right="38" w:hanging="245"/>
        <w:jc w:val="both"/>
        <w:rPr>
          <w:sz w:val="16"/>
        </w:rPr>
      </w:pPr>
      <w:hyperlink r:id="rId65">
        <w:r>
          <w:rPr>
            <w:color w:val="007FAD"/>
            <w:sz w:val="16"/>
          </w:rPr>
          <w:t>Wong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L-J,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Naviaux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RK,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Brunetti-Pierri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N,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Zhang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Q,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Schmitt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ES,</w:t>
        </w:r>
      </w:hyperlink>
      <w:r>
        <w:rPr>
          <w:color w:val="007FAD"/>
          <w:spacing w:val="40"/>
          <w:sz w:val="16"/>
        </w:rPr>
        <w:t> </w:t>
      </w:r>
      <w:hyperlink r:id="rId65">
        <w:r>
          <w:rPr>
            <w:color w:val="007FAD"/>
            <w:sz w:val="16"/>
          </w:rPr>
          <w:t>Truong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C,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et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al.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Molecular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and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clinical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genetics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of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mitochondrial</w:t>
        </w:r>
      </w:hyperlink>
      <w:r>
        <w:rPr>
          <w:color w:val="007FAD"/>
          <w:spacing w:val="40"/>
          <w:sz w:val="16"/>
        </w:rPr>
        <w:t> </w:t>
      </w:r>
      <w:hyperlink r:id="rId65">
        <w:r>
          <w:rPr>
            <w:color w:val="007FAD"/>
            <w:sz w:val="16"/>
          </w:rPr>
          <w:t>diseases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due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to</w:t>
        </w:r>
        <w:r>
          <w:rPr>
            <w:color w:val="007FAD"/>
            <w:spacing w:val="-4"/>
            <w:sz w:val="16"/>
          </w:rPr>
          <w:t> </w:t>
        </w:r>
        <w:r>
          <w:rPr>
            <w:rFonts w:ascii="Times New Roman" w:hAnsi="Times New Roman"/>
            <w:i/>
            <w:color w:val="007FAD"/>
            <w:sz w:val="16"/>
          </w:rPr>
          <w:t>POLG</w:t>
        </w:r>
        <w:r>
          <w:rPr>
            <w:rFonts w:ascii="Times New Roman" w:hAnsi="Times New Roman"/>
            <w:i/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mutations.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Hum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Mutat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2008;29:150–72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9" w:val="left" w:leader="none"/>
          <w:tab w:pos="631" w:val="left" w:leader="none"/>
        </w:tabs>
        <w:spacing w:line="261" w:lineRule="auto" w:before="0" w:after="0"/>
        <w:ind w:left="631" w:right="38" w:hanging="245"/>
        <w:jc w:val="both"/>
        <w:rPr>
          <w:sz w:val="16"/>
        </w:rPr>
      </w:pPr>
      <w:hyperlink r:id="rId66">
        <w:r>
          <w:rPr>
            <w:color w:val="007FAD"/>
            <w:sz w:val="16"/>
          </w:rPr>
          <w:t>Cohen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BH,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Naviaux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RK.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The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clinical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diagnosis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of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POLG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disease</w:t>
        </w:r>
      </w:hyperlink>
      <w:r>
        <w:rPr>
          <w:color w:val="007FAD"/>
          <w:spacing w:val="40"/>
          <w:sz w:val="16"/>
        </w:rPr>
        <w:t> </w:t>
      </w:r>
      <w:hyperlink r:id="rId66">
        <w:r>
          <w:rPr>
            <w:color w:val="007FAD"/>
            <w:sz w:val="16"/>
          </w:rPr>
          <w:t>and other mitochondrial DNA depletion disorders. Methods</w:t>
        </w:r>
      </w:hyperlink>
      <w:r>
        <w:rPr>
          <w:color w:val="007FAD"/>
          <w:spacing w:val="40"/>
          <w:sz w:val="16"/>
        </w:rPr>
        <w:t> </w:t>
      </w:r>
      <w:hyperlink r:id="rId66">
        <w:r>
          <w:rPr>
            <w:color w:val="007FAD"/>
            <w:spacing w:val="-2"/>
            <w:sz w:val="16"/>
          </w:rPr>
          <w:t>2010;51:364–73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7" w:val="left" w:leader="none"/>
          <w:tab w:pos="629" w:val="left" w:leader="none"/>
        </w:tabs>
        <w:spacing w:line="264" w:lineRule="auto" w:before="82" w:after="0"/>
        <w:ind w:left="629" w:right="139" w:hanging="247"/>
        <w:jc w:val="both"/>
        <w:rPr>
          <w:sz w:val="16"/>
        </w:rPr>
      </w:pPr>
      <w:r>
        <w:rPr/>
        <w:br w:type="column"/>
      </w:r>
      <w:hyperlink r:id="rId67">
        <w:r>
          <w:rPr>
            <w:color w:val="007FAD"/>
            <w:sz w:val="16"/>
          </w:rPr>
          <w:t>Scalais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E,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Francois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B,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Schlesser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P,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Stevens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R,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Nuttin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C,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Martin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J-</w:t>
        </w:r>
      </w:hyperlink>
      <w:r>
        <w:rPr>
          <w:color w:val="007FAD"/>
          <w:spacing w:val="40"/>
          <w:sz w:val="16"/>
        </w:rPr>
        <w:t> </w:t>
      </w:r>
      <w:hyperlink r:id="rId67">
        <w:r>
          <w:rPr>
            <w:color w:val="007FAD"/>
            <w:spacing w:val="-4"/>
            <w:sz w:val="16"/>
          </w:rPr>
          <w:t>J, et al. Polymerase gamma deﬁciency (POLG): clinical course in a</w:t>
        </w:r>
      </w:hyperlink>
      <w:r>
        <w:rPr>
          <w:color w:val="007FAD"/>
          <w:spacing w:val="40"/>
          <w:sz w:val="16"/>
        </w:rPr>
        <w:t> </w:t>
      </w:r>
      <w:hyperlink r:id="rId67">
        <w:r>
          <w:rPr>
            <w:color w:val="007FAD"/>
            <w:spacing w:val="-2"/>
            <w:sz w:val="16"/>
          </w:rPr>
          <w:t>child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with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a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two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stage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evolution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from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infantile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myocerebrohepat-</w:t>
        </w:r>
      </w:hyperlink>
      <w:r>
        <w:rPr>
          <w:color w:val="007FAD"/>
          <w:spacing w:val="40"/>
          <w:sz w:val="16"/>
        </w:rPr>
        <w:t> </w:t>
      </w:r>
      <w:hyperlink r:id="rId67">
        <w:r>
          <w:rPr>
            <w:color w:val="007FAD"/>
            <w:sz w:val="16"/>
          </w:rPr>
          <w:t>opathy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spectrum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to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an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Alpers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syndrome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and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neuropathological</w:t>
        </w:r>
      </w:hyperlink>
      <w:r>
        <w:rPr>
          <w:color w:val="007FAD"/>
          <w:spacing w:val="40"/>
          <w:sz w:val="16"/>
        </w:rPr>
        <w:t> </w:t>
      </w:r>
      <w:hyperlink r:id="rId67">
        <w:r>
          <w:rPr>
            <w:color w:val="007FAD"/>
            <w:sz w:val="16"/>
          </w:rPr>
          <w:t>ﬁndings of Leigh’s encephalopathy. Eur J Paediatr Neurol</w:t>
        </w:r>
      </w:hyperlink>
      <w:r>
        <w:rPr>
          <w:color w:val="007FAD"/>
          <w:spacing w:val="40"/>
          <w:sz w:val="16"/>
        </w:rPr>
        <w:t> </w:t>
      </w:r>
      <w:hyperlink r:id="rId67">
        <w:r>
          <w:rPr>
            <w:color w:val="007FAD"/>
            <w:spacing w:val="-2"/>
            <w:sz w:val="16"/>
          </w:rPr>
          <w:t>2012;16:542–8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7" w:val="left" w:leader="none"/>
          <w:tab w:pos="629" w:val="left" w:leader="none"/>
        </w:tabs>
        <w:spacing w:line="264" w:lineRule="auto" w:before="0" w:after="0"/>
        <w:ind w:left="629" w:right="138" w:hanging="247"/>
        <w:jc w:val="both"/>
        <w:rPr>
          <w:sz w:val="16"/>
        </w:rPr>
      </w:pPr>
      <w:hyperlink r:id="rId68">
        <w:r>
          <w:rPr>
            <w:color w:val="007FAD"/>
            <w:sz w:val="16"/>
          </w:rPr>
          <w:t>Kirby DM, Crawford M, Cleary MA, Dahl HH, Dennett X,</w:t>
        </w:r>
      </w:hyperlink>
      <w:r>
        <w:rPr>
          <w:color w:val="007FAD"/>
          <w:spacing w:val="40"/>
          <w:sz w:val="16"/>
        </w:rPr>
        <w:t> </w:t>
      </w:r>
      <w:hyperlink r:id="rId68">
        <w:r>
          <w:rPr>
            <w:color w:val="007FAD"/>
            <w:sz w:val="16"/>
          </w:rPr>
          <w:t>Tourburn DR. Respiratory chain complex I deﬁciency. </w:t>
        </w:r>
        <w:r>
          <w:rPr>
            <w:color w:val="007FAD"/>
            <w:sz w:val="16"/>
          </w:rPr>
          <w:t>An</w:t>
        </w:r>
      </w:hyperlink>
      <w:r>
        <w:rPr>
          <w:color w:val="007FAD"/>
          <w:spacing w:val="40"/>
          <w:sz w:val="16"/>
        </w:rPr>
        <w:t> </w:t>
      </w:r>
      <w:hyperlink r:id="rId68">
        <w:r>
          <w:rPr>
            <w:color w:val="007FAD"/>
            <w:spacing w:val="-2"/>
            <w:sz w:val="16"/>
          </w:rPr>
          <w:t>underdiagnosed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energy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generation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disorder.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Neurology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1999;52:</w:t>
        </w:r>
      </w:hyperlink>
      <w:r>
        <w:rPr>
          <w:color w:val="007FAD"/>
          <w:spacing w:val="40"/>
          <w:sz w:val="16"/>
        </w:rPr>
        <w:t> </w:t>
      </w:r>
      <w:hyperlink r:id="rId68">
        <w:r>
          <w:rPr>
            <w:color w:val="007FAD"/>
            <w:spacing w:val="-2"/>
            <w:sz w:val="16"/>
          </w:rPr>
          <w:t>1255–64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7" w:val="left" w:leader="none"/>
          <w:tab w:pos="629" w:val="left" w:leader="none"/>
        </w:tabs>
        <w:spacing w:line="264" w:lineRule="auto" w:before="0" w:after="0"/>
        <w:ind w:left="629" w:right="139" w:hanging="247"/>
        <w:jc w:val="both"/>
        <w:rPr>
          <w:sz w:val="16"/>
        </w:rPr>
      </w:pPr>
      <w:hyperlink r:id="rId69">
        <w:r>
          <w:rPr>
            <w:color w:val="007FAD"/>
            <w:sz w:val="16"/>
          </w:rPr>
          <w:t>Kaji S, Murayama K, Nagata I, Nagasaka H, Takayanagi M,</w:t>
        </w:r>
      </w:hyperlink>
      <w:r>
        <w:rPr>
          <w:color w:val="007FAD"/>
          <w:spacing w:val="40"/>
          <w:sz w:val="16"/>
        </w:rPr>
        <w:t> </w:t>
      </w:r>
      <w:hyperlink r:id="rId69">
        <w:r>
          <w:rPr>
            <w:color w:val="007FAD"/>
            <w:sz w:val="16"/>
          </w:rPr>
          <w:t>Ohtake A, et al. Fluctuating liver functions in siblings </w:t>
        </w:r>
        <w:r>
          <w:rPr>
            <w:color w:val="007FAD"/>
            <w:sz w:val="16"/>
          </w:rPr>
          <w:t>with</w:t>
        </w:r>
      </w:hyperlink>
      <w:r>
        <w:rPr>
          <w:color w:val="007FAD"/>
          <w:spacing w:val="40"/>
          <w:sz w:val="16"/>
        </w:rPr>
        <w:t> </w:t>
      </w:r>
      <w:hyperlink r:id="rId69">
        <w:r>
          <w:rPr>
            <w:color w:val="007FAD"/>
            <w:sz w:val="16"/>
          </w:rPr>
          <w:t>MPV17 mutations and possible improvement associated with</w:t>
        </w:r>
      </w:hyperlink>
      <w:r>
        <w:rPr>
          <w:color w:val="007FAD"/>
          <w:spacing w:val="40"/>
          <w:sz w:val="16"/>
        </w:rPr>
        <w:t> </w:t>
      </w:r>
      <w:hyperlink r:id="rId69">
        <w:r>
          <w:rPr>
            <w:color w:val="007FAD"/>
            <w:spacing w:val="-4"/>
            <w:sz w:val="16"/>
          </w:rPr>
          <w:t>dietary and pharmaceutical treatments targeting respiratory chain</w:t>
        </w:r>
      </w:hyperlink>
      <w:r>
        <w:rPr>
          <w:color w:val="007FAD"/>
          <w:spacing w:val="40"/>
          <w:sz w:val="16"/>
        </w:rPr>
        <w:t> </w:t>
      </w:r>
      <w:hyperlink r:id="rId69">
        <w:r>
          <w:rPr>
            <w:color w:val="007FAD"/>
            <w:sz w:val="16"/>
          </w:rPr>
          <w:t>complex II. Mol Genet Metab 2009;97:292–6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7" w:val="left" w:leader="none"/>
          <w:tab w:pos="629" w:val="left" w:leader="none"/>
        </w:tabs>
        <w:spacing w:line="264" w:lineRule="auto" w:before="0" w:after="0"/>
        <w:ind w:left="629" w:right="139" w:hanging="247"/>
        <w:jc w:val="both"/>
        <w:rPr>
          <w:sz w:val="16"/>
        </w:rPr>
      </w:pPr>
      <w:hyperlink r:id="rId70">
        <w:r>
          <w:rPr>
            <w:color w:val="007FAD"/>
            <w:sz w:val="16"/>
          </w:rPr>
          <w:t>Pagnamenta AT, Taanman JW, Wilson CJ, Anderson </w:t>
        </w:r>
        <w:r>
          <w:rPr>
            <w:color w:val="007FAD"/>
            <w:sz w:val="16"/>
          </w:rPr>
          <w:t>NE,</w:t>
        </w:r>
      </w:hyperlink>
      <w:r>
        <w:rPr>
          <w:color w:val="007FAD"/>
          <w:spacing w:val="40"/>
          <w:sz w:val="16"/>
        </w:rPr>
        <w:t> </w:t>
      </w:r>
      <w:hyperlink r:id="rId70">
        <w:r>
          <w:rPr>
            <w:color w:val="007FAD"/>
            <w:spacing w:val="-2"/>
            <w:sz w:val="16"/>
          </w:rPr>
          <w:t>Marotta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R,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Duncan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AJ,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et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al.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Dominant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inheritance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of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premature</w:t>
        </w:r>
      </w:hyperlink>
      <w:r>
        <w:rPr>
          <w:color w:val="007FAD"/>
          <w:spacing w:val="40"/>
          <w:sz w:val="16"/>
        </w:rPr>
        <w:t> </w:t>
      </w:r>
      <w:hyperlink r:id="rId70">
        <w:r>
          <w:rPr>
            <w:color w:val="007FAD"/>
            <w:sz w:val="16"/>
          </w:rPr>
          <w:t>ovarian failure associated with mutant mitochondrial DNA</w:t>
        </w:r>
      </w:hyperlink>
      <w:r>
        <w:rPr>
          <w:color w:val="007FAD"/>
          <w:spacing w:val="40"/>
          <w:sz w:val="16"/>
        </w:rPr>
        <w:t> </w:t>
      </w:r>
      <w:hyperlink r:id="rId70">
        <w:r>
          <w:rPr>
            <w:color w:val="007FAD"/>
            <w:sz w:val="16"/>
          </w:rPr>
          <w:t>polymerase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gamma.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Hum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Reprod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2006;21:2467–73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7" w:val="left" w:leader="none"/>
          <w:tab w:pos="629" w:val="left" w:leader="none"/>
        </w:tabs>
        <w:spacing w:line="264" w:lineRule="auto" w:before="0" w:after="0"/>
        <w:ind w:left="629" w:right="139" w:hanging="247"/>
        <w:jc w:val="both"/>
        <w:rPr>
          <w:sz w:val="16"/>
        </w:rPr>
      </w:pPr>
      <w:hyperlink r:id="rId71">
        <w:r>
          <w:rPr>
            <w:color w:val="007FAD"/>
            <w:sz w:val="16"/>
          </w:rPr>
          <w:t>Yamazaki T, Murayama K, Compton AG, Sugiana C, </w:t>
        </w:r>
        <w:r>
          <w:rPr>
            <w:color w:val="007FAD"/>
            <w:sz w:val="16"/>
          </w:rPr>
          <w:t>Harashi-</w:t>
        </w:r>
      </w:hyperlink>
      <w:r>
        <w:rPr>
          <w:color w:val="007FAD"/>
          <w:spacing w:val="40"/>
          <w:sz w:val="16"/>
        </w:rPr>
        <w:t> </w:t>
      </w:r>
      <w:hyperlink r:id="rId71">
        <w:r>
          <w:rPr>
            <w:color w:val="007FAD"/>
            <w:sz w:val="16"/>
          </w:rPr>
          <w:t>ma H, Amemiya S, et al. Molecular diagnosis of mitochondrial</w:t>
        </w:r>
      </w:hyperlink>
      <w:r>
        <w:rPr>
          <w:color w:val="007FAD"/>
          <w:spacing w:val="40"/>
          <w:sz w:val="16"/>
        </w:rPr>
        <w:t> </w:t>
      </w:r>
      <w:hyperlink r:id="rId71">
        <w:r>
          <w:rPr>
            <w:color w:val="007FAD"/>
            <w:sz w:val="16"/>
          </w:rPr>
          <w:t>respiratory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chain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disorders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in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Japan: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focusing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on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mitochondrial</w:t>
        </w:r>
      </w:hyperlink>
      <w:r>
        <w:rPr>
          <w:color w:val="007FAD"/>
          <w:spacing w:val="40"/>
          <w:sz w:val="16"/>
        </w:rPr>
        <w:t> </w:t>
      </w:r>
      <w:hyperlink r:id="rId71">
        <w:r>
          <w:rPr>
            <w:color w:val="007FAD"/>
            <w:sz w:val="16"/>
          </w:rPr>
          <w:t>DNA depletion syndrome. Pediatr Int 2014;56:180–7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4" w:lineRule="auto" w:before="0" w:after="0"/>
        <w:ind w:left="628" w:right="139" w:hanging="325"/>
        <w:jc w:val="both"/>
        <w:rPr>
          <w:sz w:val="16"/>
        </w:rPr>
      </w:pPr>
      <w:hyperlink r:id="rId72">
        <w:r>
          <w:rPr>
            <w:color w:val="007FAD"/>
            <w:sz w:val="16"/>
          </w:rPr>
          <w:t>Tang S, Wang J, Lee NC, Milone M, Halberg MC, Schmitt ES,</w:t>
        </w:r>
      </w:hyperlink>
      <w:r>
        <w:rPr>
          <w:color w:val="007FAD"/>
          <w:spacing w:val="40"/>
          <w:sz w:val="16"/>
        </w:rPr>
        <w:t> </w:t>
      </w:r>
      <w:hyperlink r:id="rId72">
        <w:r>
          <w:rPr>
            <w:color w:val="007FAD"/>
            <w:spacing w:val="-2"/>
            <w:sz w:val="16"/>
          </w:rPr>
          <w:t>et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al.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Mitochondrial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DNA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polymerase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pacing w:val="-2"/>
            <w:sz w:val="16"/>
          </w:rPr>
          <w:t>gamma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mutations: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an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ever</w:t>
        </w:r>
      </w:hyperlink>
      <w:r>
        <w:rPr>
          <w:color w:val="007FAD"/>
          <w:spacing w:val="40"/>
          <w:sz w:val="16"/>
        </w:rPr>
        <w:t> </w:t>
      </w:r>
      <w:hyperlink r:id="rId72">
        <w:r>
          <w:rPr>
            <w:color w:val="007FAD"/>
            <w:sz w:val="16"/>
          </w:rPr>
          <w:t>expanding molecular and clinical spectrum. J Med Genet</w:t>
        </w:r>
      </w:hyperlink>
      <w:r>
        <w:rPr>
          <w:color w:val="007FAD"/>
          <w:spacing w:val="40"/>
          <w:sz w:val="16"/>
        </w:rPr>
        <w:t> </w:t>
      </w:r>
      <w:hyperlink r:id="rId72">
        <w:r>
          <w:rPr>
            <w:color w:val="007FAD"/>
            <w:spacing w:val="-2"/>
            <w:sz w:val="16"/>
          </w:rPr>
          <w:t>2011;48:669–81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4" w:lineRule="auto" w:before="0" w:after="0"/>
        <w:ind w:left="628" w:right="139" w:hanging="325"/>
        <w:jc w:val="both"/>
        <w:rPr>
          <w:sz w:val="16"/>
        </w:rPr>
      </w:pPr>
      <w:r>
        <w:rPr>
          <w:sz w:val="16"/>
        </w:rPr>
        <w:t>Martikainen MH, Hinttala R, Majamaa K. Novel </w:t>
      </w:r>
      <w:r>
        <w:rPr>
          <w:sz w:val="16"/>
        </w:rPr>
        <w:t>POLG1</w:t>
      </w:r>
      <w:r>
        <w:rPr>
          <w:spacing w:val="40"/>
          <w:sz w:val="16"/>
        </w:rPr>
        <w:t> </w:t>
      </w:r>
      <w:r>
        <w:rPr>
          <w:sz w:val="16"/>
        </w:rPr>
        <w:t>mutations in a patient with adult-onset progressive external</w:t>
      </w:r>
      <w:r>
        <w:rPr>
          <w:spacing w:val="40"/>
          <w:sz w:val="16"/>
        </w:rPr>
        <w:t> </w:t>
      </w:r>
      <w:r>
        <w:rPr>
          <w:sz w:val="16"/>
        </w:rPr>
        <w:t>ophthalmoplegia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encephalopathy.</w:t>
      </w:r>
      <w:r>
        <w:rPr>
          <w:spacing w:val="-9"/>
          <w:sz w:val="16"/>
        </w:rPr>
        <w:t> </w:t>
      </w:r>
      <w:r>
        <w:rPr>
          <w:sz w:val="16"/>
        </w:rPr>
        <w:t>BMJ</w:t>
      </w:r>
      <w:r>
        <w:rPr>
          <w:spacing w:val="-10"/>
          <w:sz w:val="16"/>
        </w:rPr>
        <w:t> </w:t>
      </w:r>
      <w:r>
        <w:rPr>
          <w:sz w:val="16"/>
        </w:rPr>
        <w:t>Case</w:t>
      </w:r>
      <w:r>
        <w:rPr>
          <w:spacing w:val="-10"/>
          <w:sz w:val="16"/>
        </w:rPr>
        <w:t> </w:t>
      </w:r>
      <w:r>
        <w:rPr>
          <w:sz w:val="16"/>
        </w:rPr>
        <w:t>Reports</w:t>
      </w:r>
      <w:r>
        <w:rPr>
          <w:spacing w:val="-9"/>
          <w:sz w:val="16"/>
        </w:rPr>
        <w:t> </w:t>
      </w:r>
      <w:r>
        <w:rPr>
          <w:sz w:val="16"/>
        </w:rPr>
        <w:t>2010;</w:t>
      </w:r>
      <w:r>
        <w:rPr>
          <w:spacing w:val="40"/>
          <w:sz w:val="16"/>
        </w:rPr>
        <w:t> </w:t>
      </w:r>
      <w:r>
        <w:rPr>
          <w:spacing w:val="-2"/>
          <w:sz w:val="16"/>
          <w:u w:val="single"/>
        </w:rPr>
        <w:t>doi:10.1336/bcr.01.2010.2604</w:t>
      </w:r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4" w:lineRule="auto" w:before="0" w:after="0"/>
        <w:ind w:left="628" w:right="139" w:hanging="325"/>
        <w:jc w:val="both"/>
        <w:rPr>
          <w:sz w:val="16"/>
        </w:rPr>
      </w:pPr>
      <w:hyperlink r:id="rId73">
        <w:r>
          <w:rPr>
            <w:color w:val="007FAD"/>
            <w:spacing w:val="-2"/>
            <w:sz w:val="16"/>
          </w:rPr>
          <w:t>Gonza´lez-Vioque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E,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Bla´zquez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A,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pacing w:val="-2"/>
            <w:sz w:val="16"/>
          </w:rPr>
          <w:t>Ferna´ndez-Moreira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pacing w:val="-2"/>
            <w:sz w:val="16"/>
          </w:rPr>
          <w:t>D,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pacing w:val="-2"/>
            <w:sz w:val="16"/>
          </w:rPr>
          <w:t>Born-</w:t>
        </w:r>
      </w:hyperlink>
      <w:r>
        <w:rPr>
          <w:color w:val="007FAD"/>
          <w:spacing w:val="40"/>
          <w:sz w:val="16"/>
        </w:rPr>
        <w:t> </w:t>
      </w:r>
      <w:hyperlink r:id="rId73">
        <w:r>
          <w:rPr>
            <w:color w:val="007FAD"/>
            <w:sz w:val="16"/>
          </w:rPr>
          <w:t>stein B, Bautista J, Arpa J, et al. Association of novel </w:t>
        </w:r>
        <w:r>
          <w:rPr>
            <w:color w:val="007FAD"/>
            <w:sz w:val="16"/>
          </w:rPr>
          <w:t>POLG</w:t>
        </w:r>
      </w:hyperlink>
      <w:r>
        <w:rPr>
          <w:color w:val="007FAD"/>
          <w:spacing w:val="40"/>
          <w:sz w:val="16"/>
        </w:rPr>
        <w:t> </w:t>
      </w:r>
      <w:hyperlink r:id="rId73">
        <w:r>
          <w:rPr>
            <w:color w:val="007FAD"/>
            <w:sz w:val="16"/>
          </w:rPr>
          <w:t>mutations and multiple mitochondrial DNA deletions with</w:t>
        </w:r>
      </w:hyperlink>
      <w:r>
        <w:rPr>
          <w:color w:val="007FAD"/>
          <w:spacing w:val="40"/>
          <w:sz w:val="16"/>
        </w:rPr>
        <w:t> </w:t>
      </w:r>
      <w:hyperlink r:id="rId73">
        <w:r>
          <w:rPr>
            <w:color w:val="007FAD"/>
            <w:sz w:val="16"/>
          </w:rPr>
          <w:t>variable clinical phenotypes in a Spanish population. Arch</w:t>
        </w:r>
      </w:hyperlink>
      <w:r>
        <w:rPr>
          <w:color w:val="007FAD"/>
          <w:spacing w:val="40"/>
          <w:sz w:val="16"/>
        </w:rPr>
        <w:t> </w:t>
      </w:r>
      <w:hyperlink r:id="rId73">
        <w:r>
          <w:rPr>
            <w:color w:val="007FAD"/>
            <w:sz w:val="16"/>
          </w:rPr>
          <w:t>Neurol 2006;63:107–11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1" w:lineRule="auto" w:before="0" w:after="0"/>
        <w:ind w:left="628" w:right="140" w:hanging="325"/>
        <w:jc w:val="both"/>
        <w:rPr>
          <w:sz w:val="16"/>
        </w:rPr>
      </w:pPr>
      <w:hyperlink r:id="rId74">
        <w:r>
          <w:rPr>
            <w:color w:val="007FAD"/>
            <w:sz w:val="16"/>
          </w:rPr>
          <w:t>Cheldi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Ronchi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z w:val="16"/>
          </w:rPr>
          <w:t>D,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Bordoni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z w:val="16"/>
          </w:rPr>
          <w:t>A,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Bordo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z w:val="16"/>
          </w:rPr>
          <w:t>B,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Lanfranconi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S,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Bellotti</w:t>
        </w:r>
      </w:hyperlink>
      <w:r>
        <w:rPr>
          <w:color w:val="007FAD"/>
          <w:spacing w:val="40"/>
          <w:sz w:val="16"/>
        </w:rPr>
        <w:t> </w:t>
      </w:r>
      <w:hyperlink r:id="rId74">
        <w:r>
          <w:rPr>
            <w:color w:val="007FAD"/>
            <w:sz w:val="16"/>
          </w:rPr>
          <w:t>MG,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et</w:t>
        </w:r>
        <w:r>
          <w:rPr>
            <w:color w:val="007FAD"/>
            <w:spacing w:val="-2"/>
            <w:sz w:val="16"/>
          </w:rPr>
          <w:t> </w:t>
        </w:r>
        <w:r>
          <w:rPr>
            <w:color w:val="007FAD"/>
            <w:sz w:val="16"/>
          </w:rPr>
          <w:t>al.</w:t>
        </w:r>
        <w:r>
          <w:rPr>
            <w:color w:val="007FAD"/>
            <w:spacing w:val="-3"/>
            <w:sz w:val="16"/>
          </w:rPr>
          <w:t> </w:t>
        </w:r>
        <w:r>
          <w:rPr>
            <w:rFonts w:ascii="Times New Roman"/>
            <w:i/>
            <w:color w:val="007FAD"/>
            <w:sz w:val="16"/>
          </w:rPr>
          <w:t>POLG1</w:t>
        </w:r>
        <w:r>
          <w:rPr>
            <w:rFonts w:ascii="Times New Roman"/>
            <w:i/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mutations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and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stroke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like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episodes: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-2"/>
            <w:sz w:val="16"/>
          </w:rPr>
          <w:t> </w:t>
        </w:r>
        <w:r>
          <w:rPr>
            <w:color w:val="007FAD"/>
            <w:sz w:val="16"/>
          </w:rPr>
          <w:t>distinct</w:t>
        </w:r>
      </w:hyperlink>
      <w:r>
        <w:rPr>
          <w:color w:val="007FAD"/>
          <w:spacing w:val="40"/>
          <w:sz w:val="16"/>
        </w:rPr>
        <w:t> </w:t>
      </w:r>
      <w:hyperlink r:id="rId74">
        <w:r>
          <w:rPr>
            <w:color w:val="007FAD"/>
            <w:sz w:val="16"/>
          </w:rPr>
          <w:t>clinical entity rather than an atypical MELAS syndrome. BMC</w:t>
        </w:r>
      </w:hyperlink>
      <w:r>
        <w:rPr>
          <w:color w:val="007FAD"/>
          <w:spacing w:val="40"/>
          <w:sz w:val="16"/>
        </w:rPr>
        <w:t> </w:t>
      </w:r>
      <w:hyperlink r:id="rId74">
        <w:r>
          <w:rPr>
            <w:color w:val="007FAD"/>
            <w:sz w:val="16"/>
          </w:rPr>
          <w:t>Neurol 2013;13:8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1" w:lineRule="auto" w:before="0" w:after="0"/>
        <w:ind w:left="628" w:right="138" w:hanging="325"/>
        <w:jc w:val="both"/>
        <w:rPr>
          <w:sz w:val="16"/>
        </w:rPr>
      </w:pPr>
      <w:hyperlink r:id="rId75">
        <w:r>
          <w:rPr>
            <w:color w:val="007FAD"/>
            <w:sz w:val="16"/>
          </w:rPr>
          <w:t>Nguyen KV, Sharief FS, Chan SS, Copeland WC, Naviaux </w:t>
        </w:r>
        <w:r>
          <w:rPr>
            <w:color w:val="007FAD"/>
            <w:sz w:val="16"/>
          </w:rPr>
          <w:t>RK.</w:t>
        </w:r>
      </w:hyperlink>
      <w:r>
        <w:rPr>
          <w:color w:val="007FAD"/>
          <w:spacing w:val="40"/>
          <w:sz w:val="16"/>
        </w:rPr>
        <w:t> </w:t>
      </w:r>
      <w:hyperlink r:id="rId75">
        <w:r>
          <w:rPr>
            <w:color w:val="007FAD"/>
            <w:sz w:val="16"/>
          </w:rPr>
          <w:t>Molecular diagnosis of Alpers syndrome. J Hepatol 2006;45:</w:t>
        </w:r>
      </w:hyperlink>
      <w:r>
        <w:rPr>
          <w:color w:val="007FAD"/>
          <w:spacing w:val="40"/>
          <w:sz w:val="16"/>
        </w:rPr>
        <w:t> </w:t>
      </w:r>
      <w:hyperlink r:id="rId75">
        <w:r>
          <w:rPr>
            <w:color w:val="007FAD"/>
            <w:spacing w:val="-2"/>
            <w:sz w:val="16"/>
          </w:rPr>
          <w:t>108–16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1" w:lineRule="auto" w:before="0" w:after="0"/>
        <w:ind w:left="628" w:right="139" w:hanging="325"/>
        <w:jc w:val="both"/>
        <w:rPr>
          <w:sz w:val="16"/>
        </w:rPr>
      </w:pPr>
      <w:hyperlink r:id="rId76">
        <w:r>
          <w:rPr>
            <w:color w:val="007FAD"/>
            <w:spacing w:val="-2"/>
            <w:sz w:val="16"/>
          </w:rPr>
          <w:t>Kurt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B,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Jaeken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J,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Van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Hove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J,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Lagae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L,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Lo¨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fgren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A,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pacing w:val="-2"/>
            <w:sz w:val="16"/>
          </w:rPr>
          <w:t>Everman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pacing w:val="-2"/>
            <w:sz w:val="16"/>
          </w:rPr>
          <w:t>DB,</w:t>
        </w:r>
      </w:hyperlink>
      <w:r>
        <w:rPr>
          <w:color w:val="007FAD"/>
          <w:spacing w:val="40"/>
          <w:sz w:val="16"/>
        </w:rPr>
        <w:t> </w:t>
      </w:r>
      <w:hyperlink r:id="rId76">
        <w:r>
          <w:rPr>
            <w:color w:val="007FAD"/>
            <w:sz w:val="16"/>
          </w:rPr>
          <w:t>et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al.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A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novel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POLG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gene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mutation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in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4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children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with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Alpers-</w:t>
        </w:r>
        <w:r>
          <w:rPr>
            <w:color w:val="007FAD"/>
            <w:sz w:val="16"/>
          </w:rPr>
          <w:t>like</w:t>
        </w:r>
      </w:hyperlink>
      <w:r>
        <w:rPr>
          <w:color w:val="007FAD"/>
          <w:spacing w:val="40"/>
          <w:sz w:val="16"/>
        </w:rPr>
        <w:t> </w:t>
      </w:r>
      <w:hyperlink r:id="rId76">
        <w:r>
          <w:rPr>
            <w:color w:val="007FAD"/>
            <w:sz w:val="16"/>
          </w:rPr>
          <w:t>hepatocerebral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syndromes.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Arch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Neurol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2010;67:239–44</w:t>
        </w:r>
      </w:hyperlink>
      <w:r>
        <w:rPr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4" w:lineRule="auto" w:before="0" w:after="0"/>
        <w:ind w:left="628" w:right="139" w:hanging="325"/>
        <w:jc w:val="both"/>
        <w:rPr>
          <w:sz w:val="16"/>
        </w:rPr>
      </w:pPr>
      <w:hyperlink r:id="rId77">
        <w:r>
          <w:rPr>
            <w:color w:val="007FAD"/>
            <w:sz w:val="16"/>
          </w:rPr>
          <w:t>Boustany R, Zucker A. Degenerative disease primarily </w:t>
        </w:r>
        <w:r>
          <w:rPr>
            <w:color w:val="007FAD"/>
            <w:sz w:val="16"/>
          </w:rPr>
          <w:t>gray</w:t>
        </w:r>
      </w:hyperlink>
      <w:r>
        <w:rPr>
          <w:color w:val="007FAD"/>
          <w:spacing w:val="40"/>
          <w:sz w:val="16"/>
        </w:rPr>
        <w:t> </w:t>
      </w:r>
      <w:hyperlink r:id="rId77">
        <w:r>
          <w:rPr>
            <w:color w:val="007FAD"/>
            <w:sz w:val="16"/>
          </w:rPr>
          <w:t>matter.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In: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Swaiman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KF,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Ashwal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S,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Ferriero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D,</w:t>
        </w:r>
        <w:r>
          <w:rPr>
            <w:color w:val="007FAD"/>
            <w:spacing w:val="-10"/>
            <w:sz w:val="16"/>
          </w:rPr>
          <w:t> </w:t>
        </w:r>
        <w:r>
          <w:rPr>
            <w:color w:val="007FAD"/>
            <w:sz w:val="16"/>
          </w:rPr>
          <w:t>editors.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Pediatric</w:t>
        </w:r>
      </w:hyperlink>
      <w:r>
        <w:rPr>
          <w:color w:val="007FAD"/>
          <w:spacing w:val="40"/>
          <w:sz w:val="16"/>
        </w:rPr>
        <w:t> </w:t>
      </w:r>
      <w:hyperlink r:id="rId77">
        <w:r>
          <w:rPr>
            <w:color w:val="007FAD"/>
            <w:sz w:val="16"/>
          </w:rPr>
          <w:t>neurology: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z w:val="16"/>
          </w:rPr>
          <w:t>principles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z w:val="16"/>
          </w:rPr>
          <w:t>&amp;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practice.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Philadelphia: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Mosby;</w:t>
        </w:r>
        <w:r>
          <w:rPr>
            <w:color w:val="007FAD"/>
            <w:spacing w:val="-7"/>
            <w:sz w:val="16"/>
          </w:rPr>
          <w:t> </w:t>
        </w:r>
        <w:r>
          <w:rPr>
            <w:color w:val="007FAD"/>
            <w:sz w:val="16"/>
          </w:rPr>
          <w:t>2006.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z w:val="16"/>
          </w:rPr>
          <w:t>p.</w:t>
        </w:r>
      </w:hyperlink>
      <w:r>
        <w:rPr>
          <w:color w:val="007FAD"/>
          <w:spacing w:val="40"/>
          <w:sz w:val="16"/>
        </w:rPr>
        <w:t> </w:t>
      </w:r>
      <w:hyperlink r:id="rId77">
        <w:r>
          <w:rPr>
            <w:color w:val="007FAD"/>
            <w:spacing w:val="-2"/>
            <w:sz w:val="16"/>
          </w:rPr>
          <w:t>1326–8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4" w:lineRule="auto" w:before="0" w:after="0"/>
        <w:ind w:left="628" w:right="139" w:hanging="325"/>
        <w:jc w:val="both"/>
        <w:rPr>
          <w:sz w:val="16"/>
        </w:rPr>
      </w:pPr>
      <w:hyperlink r:id="rId78">
        <w:r>
          <w:rPr>
            <w:color w:val="007FAD"/>
            <w:sz w:val="16"/>
          </w:rPr>
          <w:t>Kollberg G, Moslemi AR, Darin N, Nennesmo I, Bjarnadottir </w:t>
        </w:r>
        <w:r>
          <w:rPr>
            <w:color w:val="007FAD"/>
            <w:sz w:val="16"/>
          </w:rPr>
          <w:t>I,</w:t>
        </w:r>
      </w:hyperlink>
      <w:r>
        <w:rPr>
          <w:color w:val="007FAD"/>
          <w:spacing w:val="40"/>
          <w:sz w:val="16"/>
        </w:rPr>
        <w:t> </w:t>
      </w:r>
      <w:hyperlink r:id="rId78">
        <w:r>
          <w:rPr>
            <w:color w:val="007FAD"/>
            <w:sz w:val="16"/>
          </w:rPr>
          <w:t>Uvebrant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P,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et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al.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POLG1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mutations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associated</w:t>
        </w:r>
        <w:r>
          <w:rPr>
            <w:color w:val="007FAD"/>
            <w:spacing w:val="-9"/>
            <w:sz w:val="16"/>
          </w:rPr>
          <w:t> </w:t>
        </w:r>
        <w:r>
          <w:rPr>
            <w:color w:val="007FAD"/>
            <w:sz w:val="16"/>
          </w:rPr>
          <w:t>with</w:t>
        </w:r>
        <w:r>
          <w:rPr>
            <w:color w:val="007FAD"/>
            <w:spacing w:val="-8"/>
            <w:sz w:val="16"/>
          </w:rPr>
          <w:t> </w:t>
        </w:r>
        <w:r>
          <w:rPr>
            <w:color w:val="007FAD"/>
            <w:sz w:val="16"/>
          </w:rPr>
          <w:t>progressive</w:t>
        </w:r>
      </w:hyperlink>
      <w:r>
        <w:rPr>
          <w:color w:val="007FAD"/>
          <w:spacing w:val="40"/>
          <w:sz w:val="16"/>
        </w:rPr>
        <w:t> </w:t>
      </w:r>
      <w:hyperlink r:id="rId78">
        <w:r>
          <w:rPr>
            <w:color w:val="007FAD"/>
            <w:sz w:val="16"/>
          </w:rPr>
          <w:t>encephalopathy in childhood. J Neuropathol Exp Neurol</w:t>
        </w:r>
      </w:hyperlink>
      <w:r>
        <w:rPr>
          <w:color w:val="007FAD"/>
          <w:spacing w:val="40"/>
          <w:sz w:val="16"/>
        </w:rPr>
        <w:t> </w:t>
      </w:r>
      <w:hyperlink r:id="rId78">
        <w:r>
          <w:rPr>
            <w:color w:val="007FAD"/>
            <w:spacing w:val="-2"/>
            <w:sz w:val="16"/>
          </w:rPr>
          <w:t>2006;65:758–68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1" w:lineRule="auto" w:before="0" w:after="0"/>
        <w:ind w:left="628" w:right="139" w:hanging="325"/>
        <w:jc w:val="both"/>
        <w:rPr>
          <w:sz w:val="16"/>
        </w:rPr>
      </w:pPr>
      <w:hyperlink r:id="rId79">
        <w:r>
          <w:rPr>
            <w:color w:val="007FAD"/>
            <w:sz w:val="16"/>
          </w:rPr>
          <w:t>Bao X, Wu Y, Wong LJ, Zhang Y, Xiong H, Chou PC, et al.</w:t>
        </w:r>
      </w:hyperlink>
      <w:r>
        <w:rPr>
          <w:color w:val="007FAD"/>
          <w:spacing w:val="40"/>
          <w:sz w:val="16"/>
        </w:rPr>
        <w:t> </w:t>
      </w:r>
      <w:hyperlink r:id="rId79">
        <w:r>
          <w:rPr>
            <w:color w:val="007FAD"/>
            <w:sz w:val="16"/>
          </w:rPr>
          <w:t>Alpers syndrome with prominent white matter changes. </w:t>
        </w:r>
        <w:r>
          <w:rPr>
            <w:color w:val="007FAD"/>
            <w:sz w:val="16"/>
          </w:rPr>
          <w:t>Brain</w:t>
        </w:r>
      </w:hyperlink>
      <w:r>
        <w:rPr>
          <w:color w:val="007FAD"/>
          <w:spacing w:val="40"/>
          <w:sz w:val="16"/>
        </w:rPr>
        <w:t> </w:t>
      </w:r>
      <w:hyperlink r:id="rId79">
        <w:r>
          <w:rPr>
            <w:color w:val="007FAD"/>
            <w:spacing w:val="-2"/>
            <w:sz w:val="16"/>
          </w:rPr>
          <w:t>Dev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2008;30:295–300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1" w:lineRule="auto" w:before="0" w:after="0"/>
        <w:ind w:left="628" w:right="139" w:hanging="325"/>
        <w:jc w:val="both"/>
        <w:rPr>
          <w:sz w:val="16"/>
        </w:rPr>
      </w:pPr>
      <w:hyperlink r:id="rId80">
        <w:r>
          <w:rPr>
            <w:color w:val="007FAD"/>
            <w:sz w:val="16"/>
          </w:rPr>
          <w:t>de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Vries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M,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Rodenburg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RJ,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Morava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E,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van</w:t>
        </w:r>
        <w:r>
          <w:rPr>
            <w:color w:val="007FAD"/>
            <w:spacing w:val="-4"/>
            <w:sz w:val="16"/>
          </w:rPr>
          <w:t> </w:t>
        </w:r>
        <w:r>
          <w:rPr>
            <w:color w:val="007FAD"/>
            <w:sz w:val="16"/>
          </w:rPr>
          <w:t>Kaauwen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E,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z w:val="16"/>
          </w:rPr>
          <w:t>ter</w:t>
        </w:r>
        <w:r>
          <w:rPr>
            <w:color w:val="007FAD"/>
            <w:spacing w:val="-3"/>
            <w:sz w:val="16"/>
          </w:rPr>
          <w:t> </w:t>
        </w:r>
        <w:r>
          <w:rPr>
            <w:color w:val="007FAD"/>
            <w:sz w:val="16"/>
          </w:rPr>
          <w:t>Laak</w:t>
        </w:r>
      </w:hyperlink>
      <w:r>
        <w:rPr>
          <w:color w:val="007FAD"/>
          <w:spacing w:val="40"/>
          <w:sz w:val="16"/>
        </w:rPr>
        <w:t> </w:t>
      </w:r>
      <w:hyperlink r:id="rId80">
        <w:r>
          <w:rPr>
            <w:color w:val="007FAD"/>
            <w:sz w:val="16"/>
          </w:rPr>
          <w:t>H, Mullaart R, et al. Multiple oxidative phosphorylation</w:t>
        </w:r>
      </w:hyperlink>
      <w:r>
        <w:rPr>
          <w:color w:val="007FAD"/>
          <w:spacing w:val="40"/>
          <w:sz w:val="16"/>
        </w:rPr>
        <w:t> </w:t>
      </w:r>
      <w:hyperlink r:id="rId80">
        <w:r>
          <w:rPr>
            <w:color w:val="007FAD"/>
            <w:sz w:val="16"/>
          </w:rPr>
          <w:t>deﬁciencies in severe childhood multi-system disorders due to</w:t>
        </w:r>
      </w:hyperlink>
      <w:r>
        <w:rPr>
          <w:color w:val="007FAD"/>
          <w:spacing w:val="40"/>
          <w:sz w:val="16"/>
        </w:rPr>
        <w:t> </w:t>
      </w:r>
      <w:hyperlink r:id="rId80">
        <w:r>
          <w:rPr>
            <w:color w:val="007FAD"/>
            <w:spacing w:val="-2"/>
            <w:sz w:val="16"/>
          </w:rPr>
          <w:t>polymerase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gamma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(</w:t>
        </w:r>
        <w:r>
          <w:rPr>
            <w:rFonts w:ascii="Times New Roman" w:hAnsi="Times New Roman"/>
            <w:i/>
            <w:color w:val="007FAD"/>
            <w:spacing w:val="-2"/>
            <w:sz w:val="16"/>
          </w:rPr>
          <w:t>POLG1</w:t>
        </w:r>
        <w:r>
          <w:rPr>
            <w:color w:val="007FAD"/>
            <w:spacing w:val="-2"/>
            <w:sz w:val="16"/>
          </w:rPr>
          <w:t>)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mutations.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Eur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J</w:t>
        </w:r>
        <w:r>
          <w:rPr>
            <w:color w:val="007FAD"/>
            <w:spacing w:val="-5"/>
            <w:sz w:val="16"/>
          </w:rPr>
          <w:t> </w:t>
        </w:r>
        <w:r>
          <w:rPr>
            <w:color w:val="007FAD"/>
            <w:spacing w:val="-2"/>
            <w:sz w:val="16"/>
          </w:rPr>
          <w:t>Pediatr</w:t>
        </w:r>
        <w:r>
          <w:rPr>
            <w:color w:val="007FAD"/>
            <w:spacing w:val="-6"/>
            <w:sz w:val="16"/>
          </w:rPr>
          <w:t> </w:t>
        </w:r>
        <w:r>
          <w:rPr>
            <w:color w:val="007FAD"/>
            <w:spacing w:val="-2"/>
            <w:sz w:val="16"/>
          </w:rPr>
          <w:t>2007;166:</w:t>
        </w:r>
      </w:hyperlink>
      <w:r>
        <w:rPr>
          <w:color w:val="007FAD"/>
          <w:spacing w:val="40"/>
          <w:sz w:val="16"/>
        </w:rPr>
        <w:t> </w:t>
      </w:r>
      <w:hyperlink r:id="rId80">
        <w:r>
          <w:rPr>
            <w:color w:val="007FAD"/>
            <w:spacing w:val="-2"/>
            <w:sz w:val="16"/>
          </w:rPr>
          <w:t>229–34</w:t>
        </w:r>
      </w:hyperlink>
      <w:r>
        <w:rPr>
          <w:spacing w:val="-2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626" w:val="left" w:leader="none"/>
          <w:tab w:pos="628" w:val="left" w:leader="none"/>
        </w:tabs>
        <w:spacing w:line="264" w:lineRule="auto" w:before="0" w:after="0"/>
        <w:ind w:left="628" w:right="139" w:hanging="325"/>
        <w:jc w:val="both"/>
        <w:rPr>
          <w:sz w:val="16"/>
        </w:rPr>
      </w:pPr>
      <w:hyperlink r:id="rId81">
        <w:r>
          <w:rPr>
            <w:color w:val="007FAD"/>
            <w:sz w:val="16"/>
          </w:rPr>
          <w:t>Ferrari G, Lamantea E, Donati A, Filosto M, Briem E, </w:t>
        </w:r>
        <w:r>
          <w:rPr>
            <w:color w:val="007FAD"/>
            <w:sz w:val="16"/>
          </w:rPr>
          <w:t>Carrara</w:t>
        </w:r>
      </w:hyperlink>
      <w:r>
        <w:rPr>
          <w:color w:val="007FAD"/>
          <w:spacing w:val="40"/>
          <w:sz w:val="16"/>
        </w:rPr>
        <w:t> </w:t>
      </w:r>
      <w:hyperlink r:id="rId81">
        <w:r>
          <w:rPr>
            <w:color w:val="007FAD"/>
            <w:sz w:val="16"/>
          </w:rPr>
          <w:t>F, et al. Infantile hepatocerebral syndromes associated with</w:t>
        </w:r>
      </w:hyperlink>
      <w:r>
        <w:rPr>
          <w:color w:val="007FAD"/>
          <w:spacing w:val="40"/>
          <w:sz w:val="16"/>
        </w:rPr>
        <w:t> </w:t>
      </w:r>
      <w:hyperlink r:id="rId81">
        <w:r>
          <w:rPr>
            <w:color w:val="007FAD"/>
            <w:sz w:val="16"/>
          </w:rPr>
          <w:t>mutations in the mitochondrial DNA polymerase-gamma A.</w:t>
        </w:r>
      </w:hyperlink>
      <w:r>
        <w:rPr>
          <w:color w:val="007FAD"/>
          <w:spacing w:val="40"/>
          <w:sz w:val="16"/>
        </w:rPr>
        <w:t> </w:t>
      </w:r>
      <w:hyperlink r:id="rId81">
        <w:r>
          <w:rPr>
            <w:color w:val="007FAD"/>
            <w:sz w:val="16"/>
          </w:rPr>
          <w:t>Brain 2005;128:723–31</w:t>
        </w:r>
      </w:hyperlink>
      <w:r>
        <w:rPr>
          <w:sz w:val="16"/>
        </w:rPr>
        <w:t>.</w:t>
      </w:r>
    </w:p>
    <w:sectPr>
      <w:type w:val="continuous"/>
      <w:pgSz w:w="11910" w:h="15880"/>
      <w:pgMar w:header="912" w:footer="0" w:top="360" w:bottom="280" w:left="708" w:right="708"/>
      <w:cols w:num="2" w:equalWidth="0">
        <w:col w:w="5129" w:space="133"/>
        <w:col w:w="523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pple SD Gothic Neo Light">
    <w:altName w:val="Apple SD Gothic Neo Light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0336">
              <wp:simplePos x="0" y="0"/>
              <wp:positionH relativeFrom="page">
                <wp:posOffset>604860</wp:posOffset>
              </wp:positionH>
              <wp:positionV relativeFrom="page">
                <wp:posOffset>589370</wp:posOffset>
              </wp:positionV>
              <wp:extent cx="241300" cy="12890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41300" cy="1289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0" w:lineRule="exact" w:before="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720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47.626801pt;margin-top:46.407162pt;width:19pt;height:10.15pt;mso-position-horizontal-relative:page;mso-position-vertical-relative:page;z-index:-16006144" type="#_x0000_t202" id="docshape14" filled="false" stroked="false">
              <v:textbox inset="0,0,0,0">
                <w:txbxContent>
                  <w:p>
                    <w:pPr>
                      <w:spacing w:line="180" w:lineRule="exact" w:before="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720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0848">
              <wp:simplePos x="0" y="0"/>
              <wp:positionH relativeFrom="page">
                <wp:posOffset>2487149</wp:posOffset>
              </wp:positionH>
              <wp:positionV relativeFrom="page">
                <wp:posOffset>592482</wp:posOffset>
              </wp:positionV>
              <wp:extent cx="2689860" cy="12700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68986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4" w:lineRule="exact" w:before="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H.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Montassir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al.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Brain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&amp;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Development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37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(2015)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719–724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95.838531pt;margin-top:46.652157pt;width:211.8pt;height:10pt;mso-position-horizontal-relative:page;mso-position-vertical-relative:page;z-index:-16005632" type="#_x0000_t202" id="docshape15" filled="false" stroked="false">
              <v:textbox inset="0,0,0,0">
                <w:txbxContent>
                  <w:p>
                    <w:pPr>
                      <w:spacing w:line="174" w:lineRule="exact" w:before="0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H.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Montassir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24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al.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Brain</w:t>
                    </w:r>
                    <w:r>
                      <w:rPr>
                        <w:rFonts w:ascii="Times New Roman" w:hAnsi="Times New Roman"/>
                        <w:i/>
                        <w:spacing w:val="22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&amp;</w:t>
                    </w:r>
                    <w:r>
                      <w:rPr>
                        <w:rFonts w:ascii="Times New Roman" w:hAnsi="Times New Roman"/>
                        <w:i/>
                        <w:spacing w:val="24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Development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37</w:t>
                    </w:r>
                    <w:r>
                      <w:rPr>
                        <w:rFonts w:ascii="Times New Roman" w:hAnsi="Times New Roman"/>
                        <w:i/>
                        <w:spacing w:val="22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(2015)</w:t>
                    </w:r>
                    <w:r>
                      <w:rPr>
                        <w:rFonts w:ascii="Times New Roman" w:hAnsi="Times New Roman"/>
                        <w:i/>
                        <w:spacing w:val="21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719–724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1360">
              <wp:simplePos x="0" y="0"/>
              <wp:positionH relativeFrom="page">
                <wp:posOffset>2384179</wp:posOffset>
              </wp:positionH>
              <wp:positionV relativeFrom="page">
                <wp:posOffset>592482</wp:posOffset>
              </wp:positionV>
              <wp:extent cx="2689860" cy="12700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68986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4" w:lineRule="exact" w:before="0"/>
                            <w:ind w:left="20" w:right="0" w:firstLine="0"/>
                            <w:jc w:val="left"/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H.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Montassir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et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al.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/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Brain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&amp;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Development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37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6"/>
                            </w:rPr>
                            <w:t>(2015)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2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imes New Roman" w:hAnsi="Times New Roman"/>
                              <w:i/>
                              <w:spacing w:val="-2"/>
                              <w:sz w:val="16"/>
                            </w:rPr>
                            <w:t>719–724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7.730698pt;margin-top:46.652157pt;width:211.8pt;height:10pt;mso-position-horizontal-relative:page;mso-position-vertical-relative:page;z-index:-16005120" type="#_x0000_t202" id="docshape16" filled="false" stroked="false">
              <v:textbox inset="0,0,0,0">
                <w:txbxContent>
                  <w:p>
                    <w:pPr>
                      <w:spacing w:line="174" w:lineRule="exact" w:before="0"/>
                      <w:ind w:left="20" w:right="0" w:firstLine="0"/>
                      <w:jc w:val="left"/>
                      <w:rPr>
                        <w:rFonts w:ascii="Times New Roman" w:hAnsi="Times New Roman"/>
                        <w:i/>
                        <w:sz w:val="16"/>
                      </w:rPr>
                    </w:pPr>
                    <w:r>
                      <w:rPr>
                        <w:rFonts w:ascii="Times New Roman" w:hAnsi="Times New Roman"/>
                        <w:i/>
                        <w:sz w:val="16"/>
                      </w:rPr>
                      <w:t>H.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Montassir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et</w:t>
                    </w:r>
                    <w:r>
                      <w:rPr>
                        <w:rFonts w:ascii="Times New Roman" w:hAnsi="Times New Roman"/>
                        <w:i/>
                        <w:spacing w:val="24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al.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/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Brain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&amp;</w:t>
                    </w:r>
                    <w:r>
                      <w:rPr>
                        <w:rFonts w:ascii="Times New Roman" w:hAnsi="Times New Roman"/>
                        <w:i/>
                        <w:spacing w:val="24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Development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37</w:t>
                    </w:r>
                    <w:r>
                      <w:rPr>
                        <w:rFonts w:ascii="Times New Roman" w:hAnsi="Times New Roman"/>
                        <w:i/>
                        <w:spacing w:val="23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16"/>
                      </w:rPr>
                      <w:t>(2015)</w:t>
                    </w:r>
                    <w:r>
                      <w:rPr>
                        <w:rFonts w:ascii="Times New Roman" w:hAnsi="Times New Roman"/>
                        <w:i/>
                        <w:spacing w:val="22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16"/>
                      </w:rPr>
                      <w:t>719–724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1872">
              <wp:simplePos x="0" y="0"/>
              <wp:positionH relativeFrom="page">
                <wp:posOffset>6727754</wp:posOffset>
              </wp:positionH>
              <wp:positionV relativeFrom="page">
                <wp:posOffset>589370</wp:posOffset>
              </wp:positionV>
              <wp:extent cx="241300" cy="12890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41300" cy="1289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80" w:lineRule="exact" w:before="0"/>
                            <w:ind w:left="6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6"/>
                            </w:rPr>
                            <w:t>721</w:t>
                          </w:r>
                          <w:r>
                            <w:rPr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9.744446pt;margin-top:46.407162pt;width:19pt;height:10.15pt;mso-position-horizontal-relative:page;mso-position-vertical-relative:page;z-index:-16004608" type="#_x0000_t202" id="docshape17" filled="false" stroked="false">
              <v:textbox inset="0,0,0,0">
                <w:txbxContent>
                  <w:p>
                    <w:pPr>
                      <w:spacing w:line="180" w:lineRule="exact" w:before="0"/>
                      <w:ind w:left="6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spacing w:val="-5"/>
                        <w:sz w:val="16"/>
                      </w:rPr>
                      <w:instrText> PAGE </w:instrText>
                    </w:r>
                    <w:r>
                      <w:rPr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spacing w:val="-5"/>
                        <w:sz w:val="16"/>
                      </w:rPr>
                      <w:t>721</w:t>
                    </w:r>
                    <w:r>
                      <w:rPr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31" w:hanging="24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7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8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7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6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5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4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3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1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24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26" w:hanging="22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0" w:hanging="37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2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9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9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8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" w:hanging="375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2"/>
      <w:ind w:left="1530" w:right="1691" w:firstLine="95"/>
    </w:pPr>
    <w:rPr>
      <w:rFonts w:ascii="Georgia" w:hAnsi="Georgia" w:eastAsia="Georgia" w:cs="Georgia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28" w:right="139" w:hanging="325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crossmark.crossref.org/dialog/?doi=10.1016/j.braindev.2014.10.013&amp;domain=pdf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dx.doi.org/10.1016/j.braindev.2014.10.013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://www.elsevier.com/locate/braindev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maegaki@med.tottori-u.ac.jp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jpe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hyperlink" Target="http://www.1000genomes.org/" TargetMode="External"/><Relationship Id="rId46" Type="http://schemas.openxmlformats.org/officeDocument/2006/relationships/hyperlink" Target="http://evs.gs.washington.edu/EVS/" TargetMode="External"/><Relationship Id="rId47" Type="http://schemas.openxmlformats.org/officeDocument/2006/relationships/hyperlink" Target="http://www.genome.med.kyoto-u.ac.jp/SnpDB/index.html" TargetMode="External"/><Relationship Id="rId48" Type="http://schemas.openxmlformats.org/officeDocument/2006/relationships/hyperlink" Target="http://sift.jcvi.org/" TargetMode="External"/><Relationship Id="rId49" Type="http://schemas.openxmlformats.org/officeDocument/2006/relationships/hyperlink" Target="http://genetics.bwh.harvard.edu/pph2/" TargetMode="External"/><Relationship Id="rId50" Type="http://schemas.openxmlformats.org/officeDocument/2006/relationships/image" Target="media/image34.jpeg"/><Relationship Id="rId51" Type="http://schemas.openxmlformats.org/officeDocument/2006/relationships/image" Target="media/image35.png"/><Relationship Id="rId52" Type="http://schemas.openxmlformats.org/officeDocument/2006/relationships/image" Target="media/image36.png"/><Relationship Id="rId53" Type="http://schemas.openxmlformats.org/officeDocument/2006/relationships/image" Target="media/image37.png"/><Relationship Id="rId54" Type="http://schemas.openxmlformats.org/officeDocument/2006/relationships/image" Target="media/image38.png"/><Relationship Id="rId55" Type="http://schemas.openxmlformats.org/officeDocument/2006/relationships/image" Target="media/image39.png"/><Relationship Id="rId56" Type="http://schemas.openxmlformats.org/officeDocument/2006/relationships/image" Target="media/image40.png"/><Relationship Id="rId57" Type="http://schemas.openxmlformats.org/officeDocument/2006/relationships/image" Target="media/image41.png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png"/><Relationship Id="rId62" Type="http://schemas.openxmlformats.org/officeDocument/2006/relationships/image" Target="media/image46.jpeg"/><Relationship Id="rId63" Type="http://schemas.openxmlformats.org/officeDocument/2006/relationships/hyperlink" Target="http://refhub.elsevier.com/S0387-7604(14)00261-7/h0005" TargetMode="External"/><Relationship Id="rId64" Type="http://schemas.openxmlformats.org/officeDocument/2006/relationships/hyperlink" Target="http://refhub.elsevier.com/S0387-7604(14)00261-7/h0010" TargetMode="External"/><Relationship Id="rId65" Type="http://schemas.openxmlformats.org/officeDocument/2006/relationships/hyperlink" Target="http://refhub.elsevier.com/S0387-7604(14)00261-7/h0015" TargetMode="External"/><Relationship Id="rId66" Type="http://schemas.openxmlformats.org/officeDocument/2006/relationships/hyperlink" Target="http://refhub.elsevier.com/S0387-7604(14)00261-7/h0020" TargetMode="External"/><Relationship Id="rId67" Type="http://schemas.openxmlformats.org/officeDocument/2006/relationships/hyperlink" Target="http://refhub.elsevier.com/S0387-7604(14)00261-7/h0025" TargetMode="External"/><Relationship Id="rId68" Type="http://schemas.openxmlformats.org/officeDocument/2006/relationships/hyperlink" Target="http://refhub.elsevier.com/S0387-7604(14)00261-7/h0030" TargetMode="External"/><Relationship Id="rId69" Type="http://schemas.openxmlformats.org/officeDocument/2006/relationships/hyperlink" Target="http://refhub.elsevier.com/S0387-7604(14)00261-7/h0035" TargetMode="External"/><Relationship Id="rId70" Type="http://schemas.openxmlformats.org/officeDocument/2006/relationships/hyperlink" Target="http://refhub.elsevier.com/S0387-7604(14)00261-7/h0040" TargetMode="External"/><Relationship Id="rId71" Type="http://schemas.openxmlformats.org/officeDocument/2006/relationships/hyperlink" Target="http://refhub.elsevier.com/S0387-7604(14)00261-7/h0045" TargetMode="External"/><Relationship Id="rId72" Type="http://schemas.openxmlformats.org/officeDocument/2006/relationships/hyperlink" Target="http://refhub.elsevier.com/S0387-7604(14)00261-7/h0050" TargetMode="External"/><Relationship Id="rId73" Type="http://schemas.openxmlformats.org/officeDocument/2006/relationships/hyperlink" Target="http://refhub.elsevier.com/S0387-7604(14)00261-7/h0060" TargetMode="External"/><Relationship Id="rId74" Type="http://schemas.openxmlformats.org/officeDocument/2006/relationships/hyperlink" Target="http://refhub.elsevier.com/S0387-7604(14)00261-7/h0065" TargetMode="External"/><Relationship Id="rId75" Type="http://schemas.openxmlformats.org/officeDocument/2006/relationships/hyperlink" Target="http://refhub.elsevier.com/S0387-7604(14)00261-7/h0070" TargetMode="External"/><Relationship Id="rId76" Type="http://schemas.openxmlformats.org/officeDocument/2006/relationships/hyperlink" Target="http://refhub.elsevier.com/S0387-7604(14)00261-7/h0075" TargetMode="External"/><Relationship Id="rId77" Type="http://schemas.openxmlformats.org/officeDocument/2006/relationships/hyperlink" Target="http://refhub.elsevier.com/S0387-7604(14)00261-7/h0080" TargetMode="External"/><Relationship Id="rId78" Type="http://schemas.openxmlformats.org/officeDocument/2006/relationships/hyperlink" Target="http://refhub.elsevier.com/S0387-7604(14)00261-7/h0085" TargetMode="External"/><Relationship Id="rId79" Type="http://schemas.openxmlformats.org/officeDocument/2006/relationships/hyperlink" Target="http://refhub.elsevier.com/S0387-7604(14)00261-7/h0090" TargetMode="External"/><Relationship Id="rId80" Type="http://schemas.openxmlformats.org/officeDocument/2006/relationships/hyperlink" Target="http://refhub.elsevier.com/S0387-7604(14)00261-7/h0095" TargetMode="External"/><Relationship Id="rId81" Type="http://schemas.openxmlformats.org/officeDocument/2006/relationships/hyperlink" Target="http://refhub.elsevier.com/S0387-7604(14)00261-7/h0100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Hesham Montassir</dc:creator>
  <dc:subject>Brain and Development, 37 (2015) 719-724. doi:10.1016/j.braindev.2014.10.013</dc:subject>
  <dc:title>Myocerebrohepatopathy spectrum disorder due to POLG mutations: A clinicopathological report</dc:title>
  <dcterms:created xsi:type="dcterms:W3CDTF">2025-05-22T13:36:16Z</dcterms:created>
  <dcterms:modified xsi:type="dcterms:W3CDTF">2025-05-22T13:36:16Z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2015-06-11T00:00:00Z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2025-05-22T00:00:00Z</vt:filetime>
  </property>
  <property fmtid="{D5CDD505-2E9C-101B-9397-08002B2CF9AE}" pid="10" name="Producer">
    <vt:lpwstr>Acrobat Distiller 8.0.0 (Windows)</vt:lpwstr>
  </property>
  <property fmtid="{D5CDD505-2E9C-101B-9397-08002B2CF9AE}" pid="11" name="doi">
    <vt:lpwstr>10.1016/j.braindev.2014.10.013</vt:lpwstr>
  </property>
  <property fmtid="{D5CDD505-2E9C-101B-9397-08002B2CF9AE}" pid="12" name="robots">
    <vt:lpwstr>noindex</vt:lpwstr>
  </property>
</Properties>
</file>