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WSP</w:t>
      </w:r>
      <w:r>
        <w:t xml:space="preserve"> </w:t>
      </w:r>
      <w:r>
        <w:t xml:space="preserve">setup</w:t>
      </w:r>
      <w:r>
        <w:t xml:space="preserve"> </w:t>
      </w:r>
      <w:r>
        <w:t xml:space="preserve">and</w:t>
      </w:r>
      <w:r>
        <w:t xml:space="preserve"> </w:t>
      </w:r>
      <w:r>
        <w:t xml:space="preserve">demographics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Lizzie</w:t>
      </w:r>
      <w:r>
        <w:t xml:space="preserve"> </w:t>
      </w:r>
      <w:r>
        <w:t xml:space="preserve">Jones</w:t>
      </w:r>
      <w:r>
        <w:rPr>
          <w:rStyle w:val="FootnoteReference"/>
        </w:rPr>
        <w:footnoteReference w:id="20"/>
      </w:r>
    </w:p>
    <w:p>
      <w:pPr>
        <w:pStyle w:val="Date"/>
      </w:pPr>
      <w:r>
        <w:t xml:space="preserve">02/05/2021</w:t>
      </w:r>
    </w:p>
    <w:p>
      <w:pPr>
        <w:pStyle w:val="Heading1"/>
      </w:pPr>
      <w:bookmarkStart w:id="22" w:name="wsp---initial-data-exploration"/>
      <w:r>
        <w:t xml:space="preserve">WSP - Initial data exploration</w:t>
      </w:r>
      <w:bookmarkEnd w:id="22"/>
    </w:p>
    <w:p>
      <w:pPr>
        <w:pStyle w:val="Heading4"/>
      </w:pPr>
      <w:bookmarkStart w:id="23" w:name="about-r-markdowns"/>
      <w:r>
        <w:t xml:space="preserve">About R Markdowns</w:t>
      </w:r>
      <w:bookmarkEnd w:id="23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 To generate the document of all content,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 To change the output (e.g. PDF, HTML) change the</w:t>
      </w:r>
      <w:r>
        <w:t xml:space="preserve"> </w:t>
      </w:r>
      <w:r>
        <w:t xml:space="preserve">‘</w:t>
      </w:r>
      <w:r>
        <w:t xml:space="preserve">output</w:t>
      </w:r>
      <w:r>
        <w:t xml:space="preserve">’</w:t>
      </w:r>
      <w:r>
        <w:t xml:space="preserve"> </w:t>
      </w:r>
      <w:r>
        <w:t xml:space="preserve">at the top to any of the outputs listerd here:</w:t>
      </w:r>
      <w:r>
        <w:t xml:space="preserve"> </w:t>
      </w:r>
      <w:hyperlink r:id="rId25">
        <w:r>
          <w:rPr>
            <w:rStyle w:val="Hyperlink"/>
          </w:rPr>
          <w:t xml:space="preserve">https://rmarkdown.rstudio.com/lesson-9.html</w:t>
        </w:r>
      </w:hyperlink>
      <w:r>
        <w:t xml:space="preserve">.</w:t>
      </w:r>
    </w:p>
    <w:p>
      <w:pPr>
        <w:pStyle w:val="Heading2"/>
      </w:pPr>
      <w:bookmarkStart w:id="26" w:name="data-cleaning"/>
      <w:r>
        <w:t xml:space="preserve">Data cleaning</w:t>
      </w:r>
      <w:bookmarkEnd w:id="26"/>
    </w:p>
    <w:p>
      <w:pPr>
        <w:pStyle w:val="FirstParagraph"/>
      </w:pPr>
      <w:r>
        <w:t xml:space="preserve">First I am going to go through some data cleaning and outline any participants or data points that are removed and explain why. I am using the</w:t>
      </w:r>
      <w:r>
        <w:t xml:space="preserve"> </w:t>
      </w:r>
      <w:r>
        <w:t xml:space="preserve">‘</w:t>
      </w:r>
      <w:r>
        <w:t xml:space="preserve">careless</w:t>
      </w:r>
      <w:r>
        <w:t xml:space="preserve">’</w:t>
      </w:r>
      <w:r>
        <w:t xml:space="preserve"> </w:t>
      </w:r>
      <w:r>
        <w:t xml:space="preserve">pakage first to find evidence of straightlining and</w:t>
      </w:r>
    </w:p>
    <w:p>
      <w:pPr>
        <w:pStyle w:val="SourceCode"/>
      </w:pPr>
      <w:r>
        <w:rPr>
          <w:rStyle w:val="CommentTok"/>
        </w:rPr>
        <w:t xml:space="preserve"># Average time taken to </w:t>
      </w:r>
      <w:r>
        <w:br w:type="textWrapping"/>
      </w:r>
      <w:r>
        <w:rPr>
          <w:rStyle w:val="CommentTok"/>
        </w:rPr>
        <w:t xml:space="preserve"># Percentiles of time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cleaning to investigate straightlining and non-serious participants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(all_data),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"SurveyType"           "UniqueID_long"        "UniqueID_short"      </w:t>
      </w:r>
      <w:r>
        <w:br w:type="textWrapping"/>
      </w:r>
      <w:r>
        <w:rPr>
          <w:rStyle w:val="VerbatimChar"/>
        </w:rPr>
        <w:t xml:space="preserve">##  [4] "TimeTaken"            "StartDate"            "StartTime"           </w:t>
      </w:r>
      <w:r>
        <w:br w:type="textWrapping"/>
      </w:r>
      <w:r>
        <w:rPr>
          <w:rStyle w:val="VerbatimChar"/>
        </w:rPr>
        <w:t xml:space="preserve">##  [7] "CompletionDate"       "CompletionTime"       "Q1_aware_stork"      </w:t>
      </w:r>
      <w:r>
        <w:br w:type="textWrapping"/>
      </w:r>
      <w:r>
        <w:rPr>
          <w:rStyle w:val="VerbatimChar"/>
        </w:rPr>
        <w:t xml:space="preserve">## [10] "Q2_photo_recog"       "Q2_photo_recog_score" "Q3_is_native"        </w:t>
      </w:r>
      <w:r>
        <w:br w:type="textWrapping"/>
      </w:r>
      <w:r>
        <w:rPr>
          <w:rStyle w:val="VerbatimChar"/>
        </w:rPr>
        <w:t xml:space="preserve">## [13] "Q3_is_native_explain" "Q4.1_migrate"         "Q4.1_migrate_score"</w:t>
      </w:r>
    </w:p>
    <w:p>
      <w:pPr>
        <w:pStyle w:val="SourceCode"/>
      </w:pPr>
      <w:r>
        <w:rPr>
          <w:rStyle w:val="CommentTok"/>
        </w:rPr>
        <w:t xml:space="preserve"># Calculates the even-odd consistency score</w:t>
      </w:r>
      <w:r>
        <w:br w:type="textWrapping"/>
      </w:r>
      <w:r>
        <w:rPr>
          <w:rStyle w:val="NormalTok"/>
        </w:rPr>
        <w:t xml:space="preserve">careless_all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evenodd</w:t>
      </w:r>
      <w:r>
        <w:rPr>
          <w:rStyle w:val="NormalTok"/>
        </w:rPr>
        <w:t xml:space="preserve">(all_data,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careless_alldiag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evenodd</w:t>
      </w:r>
      <w:r>
        <w:rPr>
          <w:rStyle w:val="NormalTok"/>
        </w:rPr>
        <w:t xml:space="preserve">(all_data,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Calculates the intra-individual response variability (IRV)</w:t>
      </w:r>
      <w:r>
        <w:br w:type="textWrapping"/>
      </w:r>
      <w:r>
        <w:rPr>
          <w:rStyle w:val="CommentTok"/>
        </w:rPr>
        <w:t xml:space="preserve"># calculate the irv over all items</w:t>
      </w:r>
      <w:r>
        <w:br w:type="textWrapping"/>
      </w:r>
      <w:r>
        <w:rPr>
          <w:rStyle w:val="NormalTok"/>
        </w:rPr>
        <w:t xml:space="preserve">irv_total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irv</w:t>
      </w:r>
      <w:r>
        <w:rPr>
          <w:rStyle w:val="NormalTok"/>
        </w:rPr>
        <w:t xml:space="preserve">(all_data)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(irv_total,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"Intra-individual response variability (IRV)"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P_setup_code_files/figure-docx/data%20clea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the irv over all items + calculate the irv for each quarter of the questionnaire</w:t>
      </w:r>
      <w:r>
        <w:br w:type="textWrapping"/>
      </w:r>
      <w:r>
        <w:rPr>
          <w:rStyle w:val="NormalTok"/>
        </w:rPr>
        <w:t xml:space="preserve">irv_split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irv</w:t>
      </w:r>
      <w:r>
        <w:rPr>
          <w:rStyle w:val="NormalTok"/>
        </w:rPr>
        <w:t xml:space="preserve">(all_data,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num.split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boxplot(irv_split$irv4) #produce a boxplot of the IRV for the fourth quarter</w:t>
      </w:r>
      <w:r>
        <w:br w:type="textWrapping"/>
      </w:r>
      <w:r>
        <w:br w:type="textWrapping"/>
      </w:r>
      <w:r>
        <w:rPr>
          <w:rStyle w:val="CommentTok"/>
        </w:rPr>
        <w:t xml:space="preserve"># Identifies the longest string of identical consecutive responses for each observation</w:t>
      </w:r>
      <w:r>
        <w:br w:type="textWrapping"/>
      </w:r>
      <w:r>
        <w:rPr>
          <w:rStyle w:val="NormalTok"/>
        </w:rPr>
        <w:t xml:space="preserve">careless_long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longstring</w:t>
      </w:r>
      <w:r>
        <w:rPr>
          <w:rStyle w:val="NormalTok"/>
        </w:rPr>
        <w:t xml:space="preserve">(all_data,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careless_avg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longstring</w:t>
      </w:r>
      <w:r>
        <w:rPr>
          <w:rStyle w:val="NormalTok"/>
        </w:rPr>
        <w:t xml:space="preserve">(all_data,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(careless_avg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longstr,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columns in participant longstring"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#produce a boxplot of the longstring index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P_setup_code_files/figure-docx/data%20clean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(careless_avg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avgstr,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longstring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P_setup_code_files/figure-docx/data%20clean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Straightlining in relation to time taken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Find and graph Mahalanobis Distance (D) and flag potential outliers</w:t>
      </w:r>
      <w:r>
        <w:br w:type="textWrapping"/>
      </w:r>
      <w:r>
        <w:rPr>
          <w:rStyle w:val="CommentTok"/>
        </w:rPr>
        <w:t xml:space="preserve">## Need to select only numeric/integer columns</w:t>
      </w:r>
      <w:r>
        <w:br w:type="textWrapping"/>
      </w:r>
      <w:r>
        <w:rPr>
          <w:rStyle w:val="CommentTok"/>
        </w:rPr>
        <w:t xml:space="preserve"># mahad_raw &lt;- mahad(all_data) #only the distances themselves</w:t>
      </w:r>
      <w:r>
        <w:br w:type="textWrapping"/>
      </w:r>
      <w:r>
        <w:rPr>
          <w:rStyle w:val="CommentTok"/>
        </w:rPr>
        <w:t xml:space="preserve"># mahad_flags &lt;- mahad(all_data, flag = TRUE) #additionally flag outliers</w:t>
      </w:r>
      <w:r>
        <w:br w:type="textWrapping"/>
      </w:r>
      <w:r>
        <w:rPr>
          <w:rStyle w:val="CommentTok"/>
        </w:rPr>
        <w:t xml:space="preserve"># mahad_flags &lt;- mahad(all_data, flag = TRUE, confidence = 0.999) #Apply a strict criterion</w:t>
      </w:r>
    </w:p>
    <w:p>
      <w:r>
        <w:br w:type="page"/>
      </w:r>
    </w:p>
    <w:p>
      <w:pPr>
        <w:pStyle w:val="Heading2"/>
      </w:pPr>
      <w:bookmarkStart w:id="30" w:name="exploring-participant-demographics"/>
      <w:r>
        <w:t xml:space="preserve">Exploring participant demographics</w:t>
      </w:r>
      <w:bookmarkEnd w:id="30"/>
    </w:p>
    <w:p>
      <w:pPr>
        <w:pStyle w:val="FirstParagraph"/>
      </w:pPr>
      <w:r>
        <w:t xml:space="preserve">The distribution of gender and education is explored and compared between samples using stacked bar plots.</w:t>
      </w:r>
    </w:p>
    <w:p>
      <w:pPr>
        <w:pStyle w:val="SourceCode"/>
      </w:pPr>
      <w:r>
        <w:rPr>
          <w:rStyle w:val="VerbatimChar"/>
        </w:rPr>
        <w:t xml:space="preserve">##   pct.males pct.female pct.no_answer pct.self_desc</w:t>
      </w:r>
      <w:r>
        <w:br w:type="textWrapping"/>
      </w:r>
      <w:r>
        <w:rPr>
          <w:rStyle w:val="VerbatimChar"/>
        </w:rPr>
        <w:t xml:space="preserve">## 1   41.9382   56.99438     0.6741573     0.3932584</w:t>
      </w:r>
    </w:p>
    <w:p>
      <w:pPr>
        <w:pStyle w:val="SourceCode"/>
      </w:pPr>
      <w:r>
        <w:rPr>
          <w:rStyle w:val="VerbatimChar"/>
        </w:rPr>
        <w:t xml:space="preserve">##   pct.furthered pct.postgrad pct.undergrad pct.secondary pct.no_formal</w:t>
      </w:r>
      <w:r>
        <w:br w:type="textWrapping"/>
      </w:r>
      <w:r>
        <w:rPr>
          <w:rStyle w:val="VerbatimChar"/>
        </w:rPr>
        <w:t xml:space="preserve">## 1      15.30899     25.30899      33.96067      21.09551      2.022472</w:t>
      </w:r>
      <w:r>
        <w:br w:type="textWrapping"/>
      </w:r>
      <w:r>
        <w:rPr>
          <w:rStyle w:val="VerbatimChar"/>
        </w:rPr>
        <w:t xml:space="preserve">##   pct.other pct.not_answer</w:t>
      </w:r>
      <w:r>
        <w:br w:type="textWrapping"/>
      </w:r>
      <w:r>
        <w:rPr>
          <w:rStyle w:val="VerbatimChar"/>
        </w:rPr>
        <w:t xml:space="preserve">## 1  1.011236       1.292135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P_setup_code_files/figure-docx/demographics%20-%20stacked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32" w:name="participant-demographics-table"/>
      <w:r>
        <w:t xml:space="preserve">Participant demographics table</w:t>
      </w:r>
      <w:bookmarkEnd w:id="32"/>
    </w:p>
    <w:p>
      <w:pPr>
        <w:pStyle w:val="FirstParagraph"/>
      </w:pPr>
      <w:r>
        <w:t xml:space="preserve">The table below (created using the package</w:t>
      </w:r>
      <w:r>
        <w:t xml:space="preserve"> </w:t>
      </w:r>
      <w:r>
        <w:t xml:space="preserve">“</w:t>
      </w:r>
      <w:r>
        <w:t xml:space="preserve">table1</w:t>
      </w:r>
      <w:r>
        <w:t xml:space="preserve">”</w:t>
      </w:r>
      <w:r>
        <w:t xml:space="preserve">) outlines the demographic characteriscs of each of the two samples, and the overall demographics of all participants across both samples. For each demographic variable the tables provides a breakdown of the number of participants within each level/group and the percentage.</w:t>
      </w:r>
    </w:p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lastrow'&gt;&lt;/th&gt;\n&lt;th class='firstrow lastrow'&gt;&lt;span class='stratlabel'&gt;Nationally rep.&lt;br&gt;&lt;span class='stratn'&gt;(N=1167)&lt;/span&gt;&lt;/span&gt;&lt;/th&gt;\n&lt;th class='firstrow lastrow'&gt;&lt;span class='stratlabel'&gt;Proactive&lt;br&gt;&lt;span class='stratn'&gt;(N=2393)&lt;/span&gt;&lt;/span&gt;&lt;/th&gt;\n&lt;th class='firstrow lastrow'&gt;&lt;span class='stratlabel'&gt;Overall&lt;br&gt;&lt;span class='stratn'&gt;(N=3560)&lt;/span&gt;&lt;/span&gt;&lt;/th&gt;\n&lt;/tr&gt;\n&lt;/thead&gt;\n&lt;tbody&gt;\n&lt;tr&gt;\n&lt;td class='rowlabel firstrow'&gt;&lt;span class='varlabel'&gt;Age group&lt;/span&gt;&lt;/td&gt;\n&lt;td class='firstrow'&gt;&lt;/td&gt;\n&lt;td class='firstrow'&gt;&lt;/td&gt;\n&lt;td class='firstrow'&gt;&lt;/td&gt;\n&lt;/tr&gt;\n&lt;tr&gt;\n&lt;td class='rowlabel'&gt;18-24&lt;/td&gt;\n&lt;td&gt;126 (10.8%)&lt;/td&gt;\n&lt;td&gt;134 (5.6%)&lt;/td&gt;\n&lt;td&gt;260 (7.3%)&lt;/td&gt;\n&lt;/tr&gt;\n&lt;tr&gt;\n&lt;td class='rowlabel'&gt;25-34&lt;/td&gt;\n&lt;td&gt;177 (15.2%)&lt;/td&gt;\n&lt;td&gt;333 (13.9%)&lt;/td&gt;\n&lt;td&gt;510 (14.3%)&lt;/td&gt;\n&lt;/tr&gt;\n&lt;tr&gt;\n&lt;td class='rowlabel'&gt;35-44&lt;/td&gt;\n&lt;td&gt;188 (16.1%)&lt;/td&gt;\n&lt;td&gt;397 (16.6%)&lt;/td&gt;\n&lt;td&gt;585 (16.4%)&lt;/td&gt;\n&lt;/tr&gt;\n&lt;tr&gt;\n&lt;td class='rowlabel'&gt;45-54&lt;/td&gt;\n&lt;td&gt;211 (18.1%)&lt;/td&gt;\n&lt;td&gt;489 (20.4%)&lt;/td&gt;\n&lt;td&gt;700 (19.7%)&lt;/td&gt;\n&lt;/tr&gt;\n&lt;tr&gt;\n&lt;td class='rowlabel'&gt;55-64&lt;/td&gt;\n&lt;td&gt;195 (16.7%)&lt;/td&gt;\n&lt;td&gt;579 (24.2%)&lt;/td&gt;\n&lt;td&gt;774 (21.7%)&lt;/td&gt;\n&lt;/tr&gt;\n&lt;tr&gt;\n&lt;td class='rowlabel'&gt;65-74&lt;/td&gt;\n&lt;td&gt;0 (0%)&lt;/td&gt;\n&lt;td&gt;368 (15.4%)&lt;/td&gt;\n&lt;td&gt;368 (10.3%)&lt;/td&gt;\n&lt;/tr&gt;\n&lt;tr&gt;\n&lt;td class='rowlabel'&gt;65+&lt;/td&gt;\n&lt;td&gt;270 (23.1%)&lt;/td&gt;\n&lt;td&gt;0 (0%)&lt;/td&gt;\n&lt;td&gt;270 (7.6%)&lt;/td&gt;\n&lt;/tr&gt;\n&lt;tr&gt;\n&lt;td class='rowlabel'&gt;75 and over&lt;/td&gt;\n&lt;td&gt;0 (0%)&lt;/td&gt;\n&lt;td&gt;81 (3.4%)&lt;/td&gt;\n&lt;td&gt;81 (2.3%)&lt;/td&gt;\n&lt;/tr&gt;\n&lt;tr&gt;\n&lt;td class='rowlabel lastrow'&gt;Prefer not to answer&lt;/td&gt;\n&lt;td class='lastrow'&gt;0 (0%)&lt;/td&gt;\n&lt;td class='lastrow'&gt;12 (0.5%)&lt;/td&gt;\n&lt;td class='lastrow'&gt;12 (0.3%)&lt;/td&gt;\n&lt;/tr&gt;\n&lt;tr&gt;\n&lt;td class='rowlabel firstrow'&gt;&lt;span class='varlabel'&gt;Gender&lt;/span&gt;&lt;/td&gt;\n&lt;td class='firstrow'&gt;&lt;/td&gt;\n&lt;td class='firstrow'&gt;&lt;/td&gt;\n&lt;td class='firstrow'&gt;&lt;/td&gt;\n&lt;/tr&gt;\n&lt;tr&gt;\n&lt;td class='rowlabel'&gt;Female&lt;/td&gt;\n&lt;td&gt;588 (50.4%)&lt;/td&gt;\n&lt;td&gt;1441 (60.2%)&lt;/td&gt;\n&lt;td&gt;2029 (57.0%)&lt;/td&gt;\n&lt;/tr&gt;\n&lt;tr&gt;\n&lt;td class='rowlabel'&gt;Male&lt;/td&gt;\n&lt;td&gt;575 (49.3%)&lt;/td&gt;\n&lt;td&gt;918 (38.4%)&lt;/td&gt;\n&lt;td&gt;1493 (41.9%)&lt;/td&gt;\n&lt;/tr&gt;\n&lt;tr&gt;\n&lt;td class='rowlabel'&gt;Prefer not to answer&lt;/td&gt;\n&lt;td&gt;2 (0.2%)&lt;/td&gt;\n&lt;td&gt;22 (0.9%)&lt;/td&gt;\n&lt;td&gt;24 (0.7%)&lt;/td&gt;\n&lt;/tr&gt;\n&lt;tr&gt;\n&lt;td class='rowlabel lastrow'&gt;Prefer to self-describe&lt;/td&gt;\n&lt;td class='lastrow'&gt;2 (0.2%)&lt;/td&gt;\n&lt;td class='lastrow'&gt;12 (0.5%)&lt;/td&gt;\n&lt;td class='lastrow'&gt;14 (0.4%)&lt;/td&gt;\n&lt;/tr&gt;\n&lt;tr&gt;\n&lt;td class='rowlabel firstrow'&gt;&lt;span class='varlabel'&gt;Education&lt;/span&gt;&lt;/td&gt;\n&lt;td class='firstrow'&gt;&lt;/td&gt;\n&lt;td class='firstrow'&gt;&lt;/td&gt;\n&lt;td class='firstrow'&gt;&lt;/td&gt;\n&lt;/tr&gt;\n&lt;tr&gt;\n&lt;td class='rowlabel'&gt;Postgraduate degree&lt;/td&gt;\n&lt;td&gt;155 (13.3%)&lt;/td&gt;\n&lt;td&gt;746 (31.2%)&lt;/td&gt;\n&lt;td&gt;901 (25.3%)&lt;/td&gt;\n&lt;/tr&gt;\n&lt;tr&gt;\n&lt;td class='rowlabel'&gt;Undergraduate degree&lt;/td&gt;\n&lt;td&gt;331 (28.4%)&lt;/td&gt;\n&lt;td&gt;878 (36.7%)&lt;/td&gt;\n&lt;td&gt;1209 (34.0%)&lt;/td&gt;\n&lt;/tr&gt;\n&lt;tr&gt;\n&lt;td class='rowlabel'&gt;Further Education&lt;/td&gt;\n&lt;td&gt;216 (18.5%)&lt;/td&gt;\n&lt;td&gt;329 (13.7%)&lt;/td&gt;\n&lt;td&gt;545 (15.3%)&lt;/td&gt;\n&lt;/tr&gt;\n&lt;tr&gt;\n&lt;td class='rowlabel'&gt;Secondary school&lt;/td&gt;\n&lt;td&gt;404 (34.6%)&lt;/td&gt;\n&lt;td&gt;347 (14.5%)&lt;/td&gt;\n&lt;td&gt;751 (21.1%)&lt;/td&gt;\n&lt;/tr&gt;\n&lt;tr&gt;\n&lt;td class='rowlabel'&gt;No formal qualifications&lt;/td&gt;\n&lt;td&gt;41 (3.5%)&lt;/td&gt;\n&lt;td&gt;31 (1.3%)&lt;/td&gt;\n&lt;td&gt;72 (2.0%)&lt;/td&gt;\n&lt;/tr&gt;\n&lt;tr&gt;\n&lt;td class='rowlabel'&gt;Prefer not to answer&lt;/td&gt;\n&lt;td&gt;19 (1.6%)&lt;/td&gt;\n&lt;td&gt;27 (1.1%)&lt;/td&gt;\n&lt;td&gt;46 (1.3%)&lt;/td&gt;\n&lt;/tr&gt;\n&lt;tr&gt;\n&lt;td class='rowlabel lastrow'&gt;Other&lt;/td&gt;\n&lt;td class='lastrow'&gt;1 (0.1%)&lt;/td&gt;\n&lt;td class='lastrow'&gt;35 (1.5%)&lt;/td&gt;\n&lt;td class='lastrow'&gt;36 (1.0%)&lt;/td&gt;\n&lt;/tr&gt;\n&lt;tr&gt;\n&lt;td class='rowlabel firstrow'&gt;&lt;span class='varlabel'&gt;Occupation&lt;/span&gt;&lt;/td&gt;\n&lt;td class='firstrow'&gt;&lt;/td&gt;\n&lt;td class='firstrow'&gt;&lt;/td&gt;\n&lt;td class='firstrow'&gt;&lt;/td&gt;\n&lt;/tr&gt;\n&lt;tr&gt;\n&lt;td class='rowlabel'&gt;Architecture, Energy &amp; Engineering&lt;/td&gt;\n&lt;td&gt;30 (2.6%)&lt;/td&gt;\n&lt;td&gt;40 (1.7%)&lt;/td&gt;\n&lt;td&gt;70 (2.0%)&lt;/td&gt;\n&lt;/tr&gt;\n&lt;tr&gt;\n&lt;td class='rowlabel'&gt;Arts, Sport &amp; Media&lt;/td&gt;\n&lt;td&gt;21 (1.8%)&lt;/td&gt;\n&lt;td&gt;112 (4.7%)&lt;/td&gt;\n&lt;td&gt;133 (3.7%)&lt;/td&gt;\n&lt;/tr&gt;\n&lt;tr&gt;\n&lt;td class='rowlabel'&gt;Building &amp; Maintenance&lt;/td&gt;\n&lt;td&gt;22 (1.9%)&lt;/td&gt;\n&lt;td&gt;22 (0.9%)&lt;/td&gt;\n&lt;td&gt;44 (1.2%)&lt;/td&gt;\n&lt;/tr&gt;\n&lt;tr&gt;\n&lt;td class='rowlabel'&gt;Business &amp; Finance&lt;/td&gt;\n&lt;td&gt;73 (6.3%)&lt;/td&gt;\n&lt;td&gt;128 (5.3%)&lt;/td&gt;\n&lt;td&gt;201 (5.6%)&lt;/td&gt;\n&lt;/tr&gt;\n&lt;tr&gt;\n&lt;td class='rowlabel'&gt;Community &amp; Social Service&lt;/td&gt;\n&lt;td&gt;17 (1.5%)&lt;/td&gt;\n&lt;td&gt;52 (2.2%)&lt;/td&gt;\n&lt;td&gt;69 (1.9%)&lt;/td&gt;\n&lt;/tr&gt;\n&lt;tr&gt;\n&lt;td class='rowlabel'&gt;Computer &amp; Mathematical&lt;/td&gt;\n&lt;td&gt;32 (2.7%)&lt;/td&gt;\n&lt;td&gt;70 (2.9%)&lt;/td&gt;\n&lt;td&gt;102 (2.9%)&lt;/td&gt;\n&lt;/tr&gt;\n&lt;tr&gt;\n&lt;td class='rowlabel'&gt;Education&lt;/td&gt;\n&lt;td&gt;67 (5.7%)&lt;/td&gt;\n&lt;td&gt;286 (12.0%)&lt;/td&gt;\n&lt;td&gt;353 (9.9%)&lt;/td&gt;\n&lt;/tr&gt;\n&lt;tr&gt;\n&lt;td class='rowlabel'&gt;Environment, Nature &amp; Wildlife&lt;/td&gt;\n&lt;td&gt;5 (0.4%)&lt;/td&gt;\n&lt;td&gt;340 (14.2%)&lt;/td&gt;\n&lt;td&gt;345 (9.7%)&lt;/td&gt;\n&lt;/tr&gt;\n&lt;tr&gt;\n&lt;td class='rowlabel'&gt;Farming &amp; Agriculture&lt;/td&gt;\n&lt;td&gt;6 (0.5%)&lt;/td&gt;\n&lt;td&gt;33 (1.4%)&lt;/td&gt;\n&lt;td&gt;39 (1.1%)&lt;/td&gt;\n&lt;/tr&gt;\n&lt;tr&gt;\n&lt;td class='rowlabel'&gt;Fisheries &amp; Aquaculture&lt;/td&gt;\n&lt;td&gt;1 (0.1%)&lt;/td&gt;\n&lt;td&gt;10 (0.4%)&lt;/td&gt;\n&lt;td&gt;11 (0.3%)&lt;/td&gt;\n&lt;/tr&gt;\n&lt;tr&gt;\n&lt;td class='rowlabel'&gt;Forestry &amp; Woodland Management&lt;/td&gt;\n&lt;td&gt;1 (0.1%)&lt;/td&gt;\n&lt;td&gt;16 (0.7%)&lt;/td&gt;\n&lt;td&gt;17 (0.5%)&lt;/td&gt;\n&lt;/tr&gt;\n&lt;tr&gt;\n&lt;td class='rowlabel'&gt;Healthcare&lt;/td&gt;\n&lt;td&gt;88 (7.5%)&lt;/td&gt;\n&lt;td&gt;165 (6.9%)&lt;/td&gt;\n&lt;td&gt;253 (7.1%)&lt;/td&gt;\n&lt;/tr&gt;\n&lt;tr&gt;\n&lt;td class='rowlabel'&gt;Homemaker / Carer&lt;/td&gt;\n&lt;td&gt;16 (1.4%)&lt;/td&gt;\n&lt;td&gt;27 (1.1%)&lt;/td&gt;\n&lt;td&gt;43 (1.2%)&lt;/td&gt;\n&lt;/tr&gt;\n&lt;tr&gt;\n&lt;td class='rowlabel'&gt;Horticulture/Gardening/Landscaping&lt;/td&gt;\n&lt;td&gt;2 (0.2%)&lt;/td&gt;\n&lt;td&gt;18 (0.8%)&lt;/td&gt;\n&lt;td&gt;20 (0.6%)&lt;/td&gt;\n&lt;/tr&gt;\n&lt;tr&gt;\n&lt;td class='rowlabel'&gt;Hospitality&lt;/td&gt;\n&lt;td&gt;40 (3.4%)&lt;/td&gt;\n&lt;td&gt;31 (1.3%)&lt;/td&gt;\n&lt;td&gt;71 (2.0%)&lt;/td&gt;\n&lt;/tr&gt;\n&lt;tr&gt;\n&lt;td class='rowlabel'&gt;Law/Legal&lt;/td&gt;\n&lt;td&gt;4 (0.3%)&lt;/td&gt;\n&lt;td&gt;12 (0.5%)&lt;/td&gt;\n&lt;td&gt;16 (0.4%)&lt;/td&gt;\n&lt;/tr&gt;\n&lt;tr&gt;\n&lt;td class='rowlabel'&gt;Office and Administrative Support&lt;/td&gt;\n&lt;td&gt;82 (7.0%)&lt;/td&gt;\n&lt;td&gt;120 (5.0%)&lt;/td&gt;\n&lt;td&gt;202 (5.7%)&lt;/td&gt;\n&lt;/tr&gt;\n&lt;tr&gt;\n&lt;td class='rowlabel'&gt;Other&lt;/td&gt;\n&lt;td&gt;85 (7.3%)&lt;/td&gt;\n&lt;td&gt;222 (9.3%)&lt;/td&gt;\n&lt;td&gt;307 (8.6%)&lt;/td&gt;\n&lt;/tr&gt;\n&lt;tr&gt;\n&lt;td class='rowlabel'&gt;Other &lt;/td&gt;\n&lt;td&gt;0 (0%)&lt;/td&gt;\n&lt;td&gt;1 (0.0%)&lt;/td&gt;\n&lt;td&gt;1 (0.0%)&lt;/td&gt;\n&lt;/tr&gt;\n&lt;tr&gt;\n&lt;td class='rowlabel'&gt;Physical and Social Science&lt;/td&gt;\n&lt;td&gt;5 (0.4%)&lt;/td&gt;\n&lt;td&gt;18 (0.8%)&lt;/td&gt;\n&lt;td&gt;23 (0.6%)&lt;/td&gt;\n&lt;/tr&gt;\n&lt;tr&gt;\n&lt;td class='rowlabel'&gt;Prefer not to answer&lt;/td&gt;\n&lt;td&gt;37 (3.2%)&lt;/td&gt;\n&lt;td&gt;47 (2.0%)&lt;/td&gt;\n&lt;td&gt;84 (2.4%)&lt;/td&gt;\n&lt;/tr&gt;\n&lt;tr&gt;\n&lt;td class='rowlabel'&gt;Production&lt;/td&gt;\n&lt;td&gt;15 (1.3%)&lt;/td&gt;\n&lt;td&gt;20 (0.8%)&lt;/td&gt;\n&lt;td&gt;35 (1.0%)&lt;/td&gt;\n&lt;/tr&gt;\n&lt;tr&gt;\n&lt;td class='rowlabel'&gt;Retired&lt;/td&gt;\n&lt;td&gt;268 (23.0%)&lt;/td&gt;\n&lt;td&gt;382 (16.0%)&lt;/td&gt;\n&lt;td&gt;650 (18.3%)&lt;/td&gt;\n&lt;/tr&gt;\n&lt;tr&gt;\n&lt;td class='rowlabel'&gt;Sales&lt;/td&gt;\n&lt;td&gt;51 (4.4%)&lt;/td&gt;\n&lt;td&gt;31 (1.3%)&lt;/td&gt;\n&lt;td&gt;82 (2.3%)&lt;/td&gt;\n&lt;/tr&gt;\n&lt;tr&gt;\n&lt;td class='rowlabel'&gt;Student&lt;/td&gt;\n&lt;td&gt;54 (4.6%)&lt;/td&gt;\n&lt;td&gt;82 (3.4%)&lt;/td&gt;\n&lt;td&gt;136 (3.8%)&lt;/td&gt;\n&lt;/tr&gt;\n&lt;tr&gt;\n&lt;td class='rowlabel'&gt;Tourism&lt;/td&gt;\n&lt;td&gt;6 (0.5%)&lt;/td&gt;\n&lt;td&gt;15 (0.6%)&lt;/td&gt;\n&lt;td&gt;21 (0.6%)&lt;/td&gt;\n&lt;/tr&gt;\n&lt;tr&gt;\n&lt;td class='rowlabel'&gt;Transport&lt;/td&gt;\n&lt;td&gt;28 (2.4%)&lt;/td&gt;\n&lt;td&gt;30 (1.3%)&lt;/td&gt;\n&lt;td&gt;58 (1.6%)&lt;/td&gt;\n&lt;/tr&gt;\n&lt;tr&gt;\n&lt;td class='rowlabel lastrow'&gt;Unemployed&lt;/td&gt;\n&lt;td class='lastrow'&gt;111 (9.5%)&lt;/td&gt;\n&lt;td class='lastrow'&gt;63 (2.6%)&lt;/td&gt;\n&lt;td class='lastrow'&gt;174 (4.9%)&lt;/td&gt;\n&lt;/tr&gt;\n&lt;tr&gt;\n&lt;td class='rowlabel firstrow'&gt;&lt;span class='varlabel'&gt;Region&lt;/span&gt;&lt;/td&gt;\n&lt;td class='firstrow'&gt;&lt;/td&gt;\n&lt;td class='firstrow'&gt;&lt;/td&gt;\n&lt;td class='firstrow'&gt;&lt;/td&gt;\n&lt;/tr&gt;\n&lt;tr&gt;\n&lt;td class='rowlabel'&gt;East Midlands&lt;/td&gt;\n&lt;td&gt;66 (5.7%)&lt;/td&gt;\n&lt;td&gt;61 (2.5%)&lt;/td&gt;\n&lt;td&gt;127 (3.6%)&lt;/td&gt;\n&lt;/tr&gt;\n&lt;tr&gt;\n&lt;td class='rowlabel'&gt;East of England&lt;/td&gt;\n&lt;td&gt;100 (8.6%)&lt;/td&gt;\n&lt;td&gt;132 (5.5%)&lt;/td&gt;\n&lt;td&gt;232 (6.5%)&lt;/td&gt;\n&lt;/tr&gt;\n&lt;tr&gt;\n&lt;td class='rowlabel'&gt;Greater London&lt;/td&gt;\n&lt;td&gt;213 (18.3%)&lt;/td&gt;\n&lt;td&gt;118 (4.9%)&lt;/td&gt;\n&lt;td&gt;331 (9.3%)&lt;/td&gt;\n&lt;/tr&gt;\n&lt;tr&gt;\n&lt;td class='rowlabel'&gt;North East&lt;/td&gt;\n&lt;td&gt;47 (4.0%)&lt;/td&gt;\n&lt;td&gt;29 (1.2%)&lt;/td&gt;\n&lt;td&gt;76 (2.1%)&lt;/td&gt;\n&lt;/tr&gt;\n&lt;tr&gt;\n&lt;td class='rowlabel'&gt;North West&lt;/td&gt;\n&lt;td&gt;114 (9.8%)&lt;/td&gt;\n&lt;td&gt;61 (2.5%)&lt;/td&gt;\n&lt;td&gt;175 (4.9%)&lt;/td&gt;\n&lt;/tr&gt;\n&lt;tr&gt;\n&lt;td class='rowlabel'&gt;Northern Ireland&lt;/td&gt;\n&lt;td&gt;0 (0%)&lt;/td&gt;\n&lt;td&gt;3 (0.1%)&lt;/td&gt;\n&lt;td&gt;3 (0.1%)&lt;/td&gt;\n&lt;/tr&gt;\n&lt;tr&gt;\n&lt;td class='rowlabel'&gt;Scotland&lt;/td&gt;\n&lt;td&gt;96 (8.2%)&lt;/td&gt;\n&lt;td&gt;56 (2.3%)&lt;/td&gt;\n&lt;td&gt;152 (4.3%)&lt;/td&gt;\n&lt;/tr&gt;\n&lt;tr&gt;\n&lt;td class='rowlabel'&gt;South East&lt;/td&gt;\n&lt;td&gt;174 (14.9%)&lt;/td&gt;\n&lt;td&gt;1555 (65.0%)&lt;/td&gt;\n&lt;td&gt;1729 (48.6%)&lt;/td&gt;\n&lt;/tr&gt;\n&lt;tr&gt;\n&lt;td class='rowlabel'&gt;South West&lt;/td&gt;\n&lt;td&gt;104 (8.9%)&lt;/td&gt;\n&lt;td&gt;209 (8.7%)&lt;/td&gt;\n&lt;td&gt;313 (8.8%)&lt;/td&gt;\n&lt;/tr&gt;\n&lt;tr&gt;\n&lt;td class='rowlabel'&gt;Wales&lt;/td&gt;\n&lt;td&gt;58 (5.0%)&lt;/td&gt;\n&lt;td&gt;40 (1.7%)&lt;/td&gt;\n&lt;td&gt;98 (2.8%)&lt;/td&gt;\n&lt;/tr&gt;\n&lt;tr&gt;\n&lt;td class='rowlabel'&gt;West Midlands&lt;/td&gt;\n&lt;td&gt;106 (9.1%)&lt;/td&gt;\n&lt;td&gt;54 (2.3%)&lt;/td&gt;\n&lt;td&gt;160 (4.5%)&lt;/td&gt;\n&lt;/tr&gt;\n&lt;tr&gt;\n&lt;td class='rowlabel lastrow'&gt;Yorkshire and the Humber&lt;/td&gt;\n&lt;td class='lastrow'&gt;89 (7.6%)&lt;/td&gt;\n&lt;td class='lastrow'&gt;75 (3.1%)&lt;/td&gt;\n&lt;td class='lastrow'&gt;164 (4.6%)&lt;/td&gt;\n&lt;/tr&gt;\n&lt;tr&gt;\n&lt;td class='rowlabel firstrow'&gt;&lt;span class='varlabel'&gt;Area type&lt;/span&gt;&lt;/td&gt;\n&lt;td class='firstrow'&gt;&lt;/td&gt;\n&lt;td class='firstrow'&gt;&lt;/td&gt;\n&lt;td class='firstrow'&gt;&lt;/td&gt;\n&lt;/tr&gt;\n&lt;tr&gt;\n&lt;td class='rowlabel'&gt;Rural&lt;/td&gt;\n&lt;td&gt;225 (19.3%)&lt;/td&gt;\n&lt;td&gt;1047 (43.8%)&lt;/td&gt;\n&lt;td&gt;1272 (35.7%)&lt;/td&gt;\n&lt;/tr&gt;\n&lt;tr&gt;\n&lt;td class='rowlabel'&gt;Sub-urban&lt;/td&gt;\n&lt;td&gt;548 (47.0%)&lt;/td&gt;\n&lt;td&gt;858 (35.9%)&lt;/td&gt;\n&lt;td&gt;1406 (39.5%)&lt;/td&gt;\n&lt;/tr&gt;\n&lt;tr&gt;\n&lt;td class='rowlabel lastrow'&gt;Urban&lt;/td&gt;\n&lt;td class='lastrow'&gt;394 (33.8%)&lt;/td&gt;\n&lt;td class='lastrow'&gt;488 (20.4%)&lt;/td&gt;\n&lt;td class='lastrow'&gt;882 (24.8%)&lt;/td&gt;\n&lt;/tr&gt;\n&lt;tr&gt;\n&lt;td class='rowlabel firstrow'&gt;&lt;span class='varlabel'&gt;Release site&lt;/span&gt;&lt;/td&gt;\n&lt;td class='firstrow'&gt;&lt;/td&gt;\n&lt;td class='firstrow'&gt;&lt;/td&gt;\n&lt;td class='firstrow'&gt;&lt;/td&gt;\n&lt;/tr&gt;\n&lt;tr&gt;\n&lt;td class='rowlabel'&gt;Knepp&lt;/td&gt;\n&lt;td&gt;5 (0.4%)&lt;/td&gt;\n&lt;td&gt;432 (18.1%)&lt;/td&gt;\n&lt;td&gt;437 (12.3%)&lt;/td&gt;\n&lt;/tr&gt;\n&lt;tr&gt;\n&lt;td class='rowlabel'&gt;Knepp-Wintershall&lt;/td&gt;\n&lt;td&gt;5 (0.4%)&lt;/td&gt;\n&lt;td&gt;265 (11.1%)&lt;/td&gt;\n&lt;td&gt;270 (7.6%)&lt;/td&gt;\n&lt;/tr&gt;\n&lt;tr&gt;\n&lt;td class='rowlabel'&gt;No&lt;/td&gt;\n&lt;td&gt;1149 (98.5%)&lt;/td&gt;\n&lt;td&gt;1378 (57.6%)&lt;/td&gt;\n&lt;td&gt;2527 (71.0%)&lt;/td&gt;\n&lt;/tr&gt;\n&lt;tr&gt;\n&lt;td class='rowlabel'&gt;Wadhurst&lt;/td&gt;\n&lt;td&gt;5 (0.4%)&lt;/td&gt;\n&lt;td&gt;0 (0%)&lt;/td&gt;\n&lt;td&gt;5 (0.1%)&lt;/td&gt;\n&lt;/tr&gt;\n&lt;tr&gt;\n&lt;td class='rowlabel'&gt;Wadhurst Park&lt;/td&gt;\n&lt;td&gt;0 (0%)&lt;/td&gt;\n&lt;td&gt;193 (8.1%)&lt;/td&gt;\n&lt;td&gt;193 (5.4%)&lt;/td&gt;\n&lt;/tr&gt;\n&lt;tr&gt;\n&lt;td class='rowlabel lastrow'&gt;Wintershall&lt;/td&gt;\n&lt;td class='lastrow'&gt;3 (0.3%)&lt;/td&gt;\n&lt;td class='lastrow'&gt;125 (5.2%)&lt;/td&gt;\n&lt;td class='lastrow'&gt;128 (3.6%)&lt;/td&gt;\n&lt;/tr&gt;\n&lt;/tbody&gt;\n&lt;/table&gt;\n"</w:t>
      </w:r>
    </w:p>
    <w:p>
      <w:r>
        <w:br w:type="page"/>
      </w:r>
    </w:p>
    <w:p>
      <w:pPr>
        <w:pStyle w:val="Heading3"/>
      </w:pPr>
      <w:bookmarkStart w:id="33" w:name="participant-postcode-mapping"/>
      <w:r>
        <w:t xml:space="preserve">Participant postcode mapping</w:t>
      </w:r>
      <w:bookmarkEnd w:id="33"/>
    </w:p>
    <w:p>
      <w:pPr>
        <w:pStyle w:val="FirstParagraph"/>
      </w:pPr>
      <w:r>
        <w:t xml:space="preserve">Map so far of participant postcode (first 1 or 2 alphabetical digits, e.g. SW or N)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Participant postcode mapping" title="" id="1" name="Picture"/>
            <a:graphic>
              <a:graphicData uri="http://schemas.openxmlformats.org/drawingml/2006/picture">
                <pic:pic>
                  <pic:nvPicPr>
                    <pic:cNvPr descr="WSP_setup_code_files/figure-docx/postcode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 postcode mapping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Brighton,</w:t>
      </w:r>
      <w:r>
        <w:t xml:space="preserve"> </w:t>
      </w:r>
      <w:hyperlink r:id="rId21">
        <w:r>
          <w:rPr>
            <w:rStyle w:val="Hyperlink"/>
          </w:rPr>
          <w:t xml:space="preserve">l.jones4@brighton.ac.uk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rmarkdown.rstudio.com/lesson-9.html" TargetMode="External" /><Relationship Type="http://schemas.openxmlformats.org/officeDocument/2006/relationships/hyperlink" Id="rId21" Target="mailto:l.jones4@brighton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rmarkdown.rstudio.com/lesson-9.html" TargetMode="External" /><Relationship Type="http://schemas.openxmlformats.org/officeDocument/2006/relationships/hyperlink" Id="rId21" Target="mailto:l.jones4@brigh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 setup and demographics code</dc:title>
  <dc:creator>Lizzie Jones</dc:creator>
  <cp:keywords/>
  <dcterms:created xsi:type="dcterms:W3CDTF">2021-05-05T11:34:43Z</dcterms:created>
  <dcterms:modified xsi:type="dcterms:W3CDTF">2021-05-05T11:34:43Z</dcterms:modified>
</cp:coreProperties>
</file>