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43.png" ContentType="image/png"/>
  <Override PartName="/word/media/rId46.png" ContentType="image/png"/>
  <Override PartName="/word/media/rId51.png" ContentType="image/png"/>
  <Override PartName="/word/media/rId59.png" ContentType="image/png"/>
  <Override PartName="/word/media/rId62.png" ContentType="image/png"/>
  <Override PartName="/word/media/rId81.png" ContentType="image/png"/>
  <Override PartName="/word/media/rId38.png" ContentType="image/png"/>
  <Override PartName="/word/media/rId54.png" ContentType="image/png"/>
  <Override PartName="/word/media/rId91.png" ContentType="image/png"/>
  <Override PartName="/word/media/rId94.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e8a97fb3839bb5d5e704173a3b30326a87a391d"/>
    <w:p>
      <w:pPr>
        <w:pStyle w:val="Heading1"/>
      </w:pPr>
      <w:r>
        <w:t xml:space="preserve">LKina: A Metal-Aware and Covalent-Reactive Molecular Docking Engine Extending AutoDock Vina</w:t>
      </w:r>
    </w:p>
    <w:p>
      <w:pPr>
        <w:pStyle w:val="FirstParagraph"/>
      </w:pPr>
      <w:r>
        <w:rPr>
          <w:b/>
          <w:bCs/>
        </w:rPr>
        <w:t xml:space="preserve">Authors:</w:t>
      </w:r>
      <w:r>
        <w:t xml:space="preserve"> </w:t>
      </w:r>
      <w:r>
        <w:t xml:space="preserve">Luo Xiaowen </w:t>
      </w:r>
      <w:r>
        <w:rPr>
          <w:rFonts w:hint="eastAsia"/>
        </w:rPr>
        <w:t xml:space="preserve">(罗晓文)</w:t>
      </w:r>
      <w:r>
        <w:t xml:space="preserve"> </w:t>
      </w:r>
      <w:r>
        <w:rPr>
          <w:b/>
          <w:bCs/>
        </w:rPr>
        <w:t xml:space="preserve">Corresponding author:</w:t>
      </w:r>
      <w:r>
        <w:t xml:space="preserve"> </w:t>
      </w:r>
      <w:r>
        <w:t xml:space="preserve">Luo Xiaowen, affiliation, ORCID, and e-mail to be completed before submission</w:t>
      </w:r>
    </w:p>
    <w:p>
      <w:r>
        <w:pict>
          <v:rect style="width:0;height:1.5pt" o:hralign="center" o:hrstd="t" o:hr="t"/>
        </w:pict>
      </w:r>
    </w:p>
    <w:bookmarkStart w:id="12" w:name="abstract"/>
    <w:p>
      <w:pPr>
        <w:pStyle w:val="Heading2"/>
      </w:pPr>
      <w:r>
        <w:t xml:space="preserve">Abstract</w:t>
      </w:r>
    </w:p>
    <w:p>
      <w:pPr>
        <w:pStyle w:val="FirstParagraph"/>
      </w:pPr>
      <w:r>
        <w:rPr>
          <w:b/>
          <w:bCs/>
        </w:rPr>
        <w:t xml:space="preserve">Motivation:</w:t>
      </w:r>
      <w:r>
        <w:t xml:space="preserve"> </w:t>
      </w:r>
      <w:r>
        <w:t xml:space="preserve">Metalloenzymes mediate approximately 40% of all enzyme reactions in the human proteome and are targeted by roughly one-third of approved drugs; yet standard molecular-docking force fields cannot describe the directionality of metal–ligand coordination. The deficiencies are threefold: equilibrium distances are distorted (an N donor is placed at ~2.49 Å, whereas the native Zn–N coordination bond is ~2.0 Å); spherically symmetric Lennard-Jones potentials cannot distinguish axial from equatorial ligation; and formal charges bias the electrostatic term systematically toward oxygen donors. Meanwhile, covalent drug discovery requires that the search converge onto productive nucleophilic-attack trajectories, near-attack conformations (NACs), a capability absent from the AutoDock Vina search engine. Existing solutions cover only narrow niches: AutoDock4Zn handles Zn²⁺ only; CovDock is commercial and typically requires pre-built covalent adducts; and all of these workflows rely on the external</w:t>
      </w:r>
      <w:r>
        <w:t xml:space="preserve"> </w:t>
      </w:r>
      <w:r>
        <w:rPr>
          <w:rStyle w:val="VerbatimChar"/>
        </w:rPr>
        <w:t xml:space="preserve">autogrid4</w:t>
      </w:r>
      <w:r>
        <w:t xml:space="preserve"> </w:t>
      </w:r>
      <w:r>
        <w:t xml:space="preserve">executable to pre-compute affinity maps.</w:t>
      </w:r>
    </w:p>
    <w:p>
      <w:pPr>
        <w:pStyle w:val="BodyText"/>
      </w:pPr>
      <w:r>
        <w:rPr>
          <w:b/>
          <w:bCs/>
        </w:rPr>
        <w:t xml:space="preserve">Results:</w:t>
      </w:r>
      <w:r>
        <w:t xml:space="preserve"> </w:t>
      </w:r>
      <w:r>
        <w:t xml:space="preserve">We present</w:t>
      </w:r>
      <w:r>
        <w:t xml:space="preserve"> </w:t>
      </w:r>
      <w:r>
        <w:rPr>
          <w:b/>
          <w:bCs/>
        </w:rPr>
        <w:t xml:space="preserve">LKina</w:t>
      </w:r>
      <w:r>
        <w:t xml:space="preserve">, an open-source C++ extension of AutoDock Vina 1.2.7 that adds metal-coordination docking and reactive covalent docking at the engine level. LKina extends the AD4 atom-type table from ~22 to</w:t>
      </w:r>
      <w:r>
        <w:t xml:space="preserve"> </w:t>
      </w:r>
      <w:r>
        <w:rPr>
          <w:b/>
          <w:bCs/>
        </w:rPr>
        <w:t xml:space="preserve">113 types</w:t>
      </w:r>
      <w:r>
        <w:t xml:space="preserve"> </w:t>
      </w:r>
      <w:r>
        <w:t xml:space="preserve">(80+ metals and metalloids), embeds a C++ reimplementation of the AutoGrid 4.2 grid generator (</w:t>
      </w:r>
      <w:r>
        <w:rPr>
          <w:b/>
          <w:bCs/>
        </w:rPr>
        <w:t xml:space="preserve">108</w:t>
      </w:r>
      <w:r>
        <w:t xml:space="preserve"> </w:t>
      </w:r>
      <w:r>
        <w:t xml:space="preserve">maps per run, removing the external</w:t>
      </w:r>
      <w:r>
        <w:t xml:space="preserve"> </w:t>
      </w:r>
      <w:r>
        <w:rPr>
          <w:rStyle w:val="VerbatimChar"/>
        </w:rPr>
        <w:t xml:space="preserve">autogrid4</w:t>
      </w:r>
      <w:r>
        <w:t xml:space="preserve"> </w:t>
      </w:r>
      <w:r>
        <w:t xml:space="preserve">dependency), introduces four coordination pseudoatom systems (</w:t>
      </w:r>
      <w:r>
        <w:rPr>
          <w:b/>
          <w:bCs/>
        </w:rPr>
        <w:t xml:space="preserve">TZ/SQ/MH/JT</w:t>
      </w:r>
      <w:r>
        <w:t xml:space="preserve">) with heuristic Bond-Valence-Sum (BVS) oxidation-state inference, and implements a four-tier reactive covalent framework (</w:t>
      </w:r>
      <w:r>
        <w:rPr>
          <w:b/>
          <w:bCs/>
        </w:rPr>
        <w:t xml:space="preserve">P1–P4</w:t>
      </w:r>
      <w:r>
        <w:t xml:space="preserve">) with explicit NAC detection, six reaction presets, and a two-phase search option. Evidence is reported at three levels.</w:t>
      </w:r>
      <w:r>
        <w:t xml:space="preserve"> </w:t>
      </w:r>
      <w:r>
        <w:rPr>
          <w:i/>
          <w:iCs/>
        </w:rPr>
        <w:t xml:space="preserve">Software and numerical verification</w:t>
      </w:r>
      <w:r>
        <w:t xml:space="preserve">: 17/17 regression checks pass, analytical reactive gradients match finite differences to ≤ 4.3 × 10⁻⁸, and standard docking reproduces Vina 1.2.7 mode-1 energies exactly (1HVR −14.54; 3PTB −6.202 kcal/mol).</w:t>
      </w:r>
      <w:r>
        <w:t xml:space="preserve"> </w:t>
      </w:r>
      <w:r>
        <w:rPr>
          <w:i/>
          <w:iCs/>
        </w:rPr>
        <w:t xml:space="preserve">Synthetic functional coverage</w:t>
      </w:r>
      <w:r>
        <w:t xml:space="preserve">: on a 110-mode metal-coordination benchmark LKina completes</w:t>
      </w:r>
      <w:r>
        <w:t xml:space="preserve"> </w:t>
      </w:r>
      <w:r>
        <w:rPr>
          <w:b/>
          <w:bCs/>
        </w:rPr>
        <w:t xml:space="preserve">110/110</w:t>
      </w:r>
      <w:r>
        <w:t xml:space="preserve"> </w:t>
      </w:r>
      <w:r>
        <w:t xml:space="preserve">dockings (Vina 1.2.7 parses only 34/110; the rest fail at atom-type parsing) and recovers the ideal metal–donor distance within 0.5 Å on</w:t>
      </w:r>
      <w:r>
        <w:t xml:space="preserve"> </w:t>
      </w:r>
      <w:r>
        <w:rPr>
          <w:b/>
          <w:bCs/>
        </w:rPr>
        <w:t xml:space="preserve">108/110</w:t>
      </w:r>
      <w:r>
        <w:t xml:space="preserve"> </w:t>
      </w:r>
      <w:r>
        <w:t xml:space="preserve">(mean |d−d₀| = 0.20 Å); all six covalent presets complete end-to-end with genuine NAC discrimination.</w:t>
      </w:r>
      <w:r>
        <w:t xml:space="preserve"> </w:t>
      </w:r>
      <w:r>
        <w:rPr>
          <w:i/>
          <w:iCs/>
        </w:rPr>
        <w:t xml:space="preserve">Real-system comparison</w:t>
      </w:r>
      <w:r>
        <w:t xml:space="preserve">: on 104 PDB-derived metalloprotein redocking cases (Zn²⁺ 22 / Fe³⁺ 47 / Cu²⁺ 35), the coordination model places the best-pose ligand donor within 3.0 Å of the metal in</w:t>
      </w:r>
      <w:r>
        <w:t xml:space="preserve"> </w:t>
      </w:r>
      <w:r>
        <w:rPr>
          <w:b/>
          <w:bCs/>
        </w:rPr>
        <w:t xml:space="preserve">87/96 (90.6%)</w:t>
      </w:r>
      <w:r>
        <w:t xml:space="preserve"> </w:t>
      </w:r>
      <w:r>
        <w:t xml:space="preserve">of systems, versus 27/97 (27.8%) for the same engine with metal terms disabled and 50/96 (52.1%) for Vina 1.2.7; top-1 RMSD ≤ 2.0 Å success is moderate for all three engines (≤ 34%) under a lean preparation protocol and is not uniformly improved by the metal terms. Two case studies bracket the current covalent capability: on carbonic anhydrase II (3HS4) zn mode recovers sulfonamide–Zn coordination at 2.08 Å, while on KRAS G12C (6OIM) the warhead–SG distance stalls at ~7.2 Å, which we report as a negative control. LKina’s scores are empirical docking scores on the kcal/mol scale of the parent functions, not calibrated binding free energies; multi-metal sites, bridging ligands, and large-scale independent validation remain open limitations, so we position LKina as an engineering framework with verified functionality rather than a validated general-purpose prediction engine.</w:t>
      </w:r>
    </w:p>
    <w:p>
      <w:pPr>
        <w:pStyle w:val="BodyText"/>
      </w:pPr>
      <w:r>
        <w:rPr>
          <w:b/>
          <w:bCs/>
        </w:rPr>
        <w:t xml:space="preserve">Availability:</w:t>
      </w:r>
      <w:r>
        <w:t xml:space="preserve"> </w:t>
      </w:r>
      <w:r>
        <w:t xml:space="preserve">https://github.com/LK-Studio1128/LKina (GPL-3.0-or-later; Vina-origin files remain Apache-2.0); prebuilt macOS/Linux/Windows binaries, build scripts, and the full benchmark pipeline are in the repository. The v1.0.2 snapshot is permanently archived on Zenodo (DOI 10.5281/zenodo.22156943).</w:t>
      </w:r>
    </w:p>
    <w:p>
      <w:pPr>
        <w:pStyle w:val="BodyText"/>
      </w:pPr>
      <w:r>
        <w:rPr>
          <w:b/>
          <w:bCs/>
        </w:rPr>
        <w:t xml:space="preserve">Keywords:</w:t>
      </w:r>
      <w:r>
        <w:t xml:space="preserve"> </w:t>
      </w:r>
      <w:r>
        <w:t xml:space="preserve">molecular docking; metalloproteins; AutoDock Vina; metal coordination; covalent docking; near-attack conformation</w:t>
      </w:r>
    </w:p>
    <w:p>
      <w:pPr>
        <w:pStyle w:val="CaptionedFigure"/>
      </w:pPr>
      <w:r>
        <w:drawing>
          <wp:inline>
            <wp:extent cx="5334000" cy="2764687"/>
            <wp:effectExtent b="0" l="0" r="0" t="0"/>
            <wp:docPr descr="Graphical Abstract" title="" id="10" name="Picture"/>
            <a:graphic>
              <a:graphicData uri="http://schemas.openxmlformats.org/drawingml/2006/picture">
                <pic:pic>
                  <pic:nvPicPr>
                    <pic:cNvPr descr="figures/graphical_abstract.png" id="11" name="Picture"/>
                    <pic:cNvPicPr>
                      <a:picLocks noChangeArrowheads="1" noChangeAspect="1"/>
                    </pic:cNvPicPr>
                  </pic:nvPicPr>
                  <pic:blipFill>
                    <a:blip r:embed="rId9"/>
                    <a:stretch>
                      <a:fillRect/>
                    </a:stretch>
                  </pic:blipFill>
                  <pic:spPr bwMode="auto">
                    <a:xfrm>
                      <a:off x="0" y="0"/>
                      <a:ext cx="5334000" cy="2764687"/>
                    </a:xfrm>
                    <a:prstGeom prst="rect">
                      <a:avLst/>
                    </a:prstGeom>
                    <a:noFill/>
                    <a:ln w="9525">
                      <a:noFill/>
                      <a:headEnd/>
                      <a:tailEnd/>
                    </a:ln>
                  </pic:spPr>
                </pic:pic>
              </a:graphicData>
            </a:graphic>
          </wp:inline>
        </w:drawing>
      </w:r>
    </w:p>
    <w:p>
      <w:pPr>
        <w:pStyle w:val="ImageCaption"/>
      </w:pPr>
      <w:r>
        <w:t xml:space="preserve">Graphical Abstract</w:t>
      </w:r>
    </w:p>
    <w:p>
      <w:pPr>
        <w:pStyle w:val="Compact"/>
        <w:numPr>
          <w:ilvl w:val="0"/>
          <w:numId w:val="1001"/>
        </w:numPr>
      </w:pPr>
      <w:r>
        <w:rPr>
          <w:b/>
          <w:bCs/>
        </w:rPr>
        <w:t xml:space="preserve">Graphical Abstract.</w:t>
      </w:r>
      <w:r>
        <w:t xml:space="preserve"> </w:t>
      </w:r>
      <w:r>
        <w:t xml:space="preserve">Visual summary of LKina: an extension of AutoDock Vina 1.2.7 (32-type XS) to 113 atom types with metal-aware coordination docking (TZ/SQ/MH/JT pseudoatoms, BVS oxidation-state inference, 4JC Zn–NA at 2.19 Å) and covalent-reactive docking (NAC detection, P1–P4 constraints, C3 two-phase strategy, six presets), with an inline AutoGrid 4.2 generator and full backward compatibility; metal-mode coverage improves from 34/110 (Vina 1.2.7) to 110/110.</w:t>
      </w:r>
    </w:p>
    <w:p>
      <w:r>
        <w:pict>
          <v:rect style="width:0;height:1.5pt" o:hralign="center" o:hrstd="t" o:hr="t"/>
        </w:pict>
      </w:r>
    </w:p>
    <w:bookmarkEnd w:id="12"/>
    <w:bookmarkStart w:id="17" w:name="introduction"/>
    <w:p>
      <w:pPr>
        <w:pStyle w:val="Heading2"/>
      </w:pPr>
      <w:r>
        <w:t xml:space="preserve">1. Introduction</w:t>
      </w:r>
    </w:p>
    <w:bookmarkStart w:id="13" w:name="X707188a0597e34d6235c6f93522f10e4e1cdb31"/>
    <w:p>
      <w:pPr>
        <w:pStyle w:val="Heading3"/>
      </w:pPr>
      <w:r>
        <w:t xml:space="preserve">1.1 Molecular docking and the metalloprotein gap</w:t>
      </w:r>
    </w:p>
    <w:p>
      <w:pPr>
        <w:pStyle w:val="FirstParagraph"/>
      </w:pPr>
      <w:r>
        <w:t xml:space="preserve">Structure-based drug discovery (SBDD) relies on molecular docking to predict the binding pose and affinity of small molecules within a receptor of known structure </w:t>
      </w:r>
      <w:r>
        <w:rPr>
          <w:vertAlign w:val="superscript"/>
          <w:sz w:val="18"/>
        </w:rPr>
        <w:t>[1]</w:t>
      </w:r>
      <w:r>
        <w:t xml:space="preserve">. Among the most widely used open-source engines, AutoDock Vina </w:t>
      </w:r>
      <w:r>
        <w:rPr>
          <w:vertAlign w:val="superscript"/>
          <w:sz w:val="18"/>
        </w:rPr>
        <w:t>[1,2]</w:t>
      </w:r>
      <w:r>
        <w:t xml:space="preserve"> couples an empirical scoring function with a Monte Carlo + L-BFGS global/local search and OpenMP multithreading, and has become the de facto standard for virtual screening. AutoDock Vina 1.2.x additionally provides the AutoDock4 (AD4) empirical force field </w:t>
      </w:r>
      <w:r>
        <w:rPr>
          <w:vertAlign w:val="superscript"/>
          <w:sz w:val="18"/>
        </w:rPr>
        <w:t>[3]</w:t>
      </w:r>
      <w:r>
        <w:t xml:space="preserve"> for users who require more chemically detailed electrostatics and desolvation terms.</w:t>
      </w:r>
    </w:p>
    <w:p>
      <w:pPr>
        <w:pStyle w:val="BodyText"/>
      </w:pPr>
      <w:r>
        <w:t xml:space="preserve">However, when the receptor contains a metal cofactor, a situation ubiquitous in drug discovery, both force fields share three fundamental limitations. Metal ions are present in an estimated</w:t>
      </w:r>
      <w:r>
        <w:t xml:space="preserve"> </w:t>
      </w:r>
      <w:r>
        <w:rPr>
          <w:b/>
          <w:bCs/>
        </w:rPr>
        <w:t xml:space="preserve">40% of enzymes and ~30% of approved drug targets</w:t>
      </w:r>
      <w:r>
        <w:t xml:space="preserve">, including HIV integrase (Mg²⁺), carbonic anhydrase (Zn²⁺), histone deacetylases (Zn²⁺), and heme/non-heme iron enzymes (Fe³⁺) </w:t>
      </w:r>
      <w:r>
        <w:rPr>
          <w:vertAlign w:val="superscript"/>
          <w:sz w:val="18"/>
        </w:rPr>
        <w:t>[4,5]</w:t>
      </w:r>
      <w:r>
        <w:t xml:space="preserve">. The deficiencies are as follows:</w:t>
      </w:r>
    </w:p>
    <w:p>
      <w:pPr>
        <w:pStyle w:val="Compact"/>
        <w:numPr>
          <w:ilvl w:val="0"/>
          <w:numId w:val="1002"/>
        </w:numPr>
      </w:pPr>
      <w:r>
        <w:rPr>
          <w:b/>
          <w:bCs/>
        </w:rPr>
        <w:t xml:space="preserve">Distorted equilibrium distances.</w:t>
      </w:r>
      <w:r>
        <w:t xml:space="preserve"> </w:t>
      </w:r>
      <w:r>
        <w:t xml:space="preserve">In a generic vdW force field, the equilibrium distance of an N donor is ~2.49 Å, whereas a native Zn–N coordination bond is ~2.0 Å; the scoring function therefore penalizes the crystallographically correct pose.</w:t>
      </w:r>
    </w:p>
    <w:p>
      <w:pPr>
        <w:pStyle w:val="Compact"/>
        <w:numPr>
          <w:ilvl w:val="0"/>
          <w:numId w:val="1002"/>
        </w:numPr>
      </w:pPr>
      <w:r>
        <w:rPr>
          <w:b/>
          <w:bCs/>
        </w:rPr>
        <w:t xml:space="preserve">No directionality.</w:t>
      </w:r>
      <w:r>
        <w:t xml:space="preserve"> </w:t>
      </w:r>
      <w:r>
        <w:t xml:space="preserve">Spherical Lennard-Jones potentials cannot distinguish axial from equatorial coordination, a particularly serious shortcoming for Jahn–Teller-active ions and for square-planar Pt/Pd complexes of clinical relevance.</w:t>
      </w:r>
    </w:p>
    <w:p>
      <w:pPr>
        <w:pStyle w:val="Compact"/>
        <w:numPr>
          <w:ilvl w:val="0"/>
          <w:numId w:val="1002"/>
        </w:numPr>
      </w:pPr>
      <w:r>
        <w:rPr>
          <w:b/>
          <w:bCs/>
        </w:rPr>
        <w:t xml:space="preserve">Charge-model bias.</w:t>
      </w:r>
      <w:r>
        <w:t xml:space="preserve"> </w:t>
      </w:r>
      <w:r>
        <w:t xml:space="preserve">Formal charges on high-valent metals (Fe³⁺, Cu²⁺) cause Gasteiger-based electrostatics to over-weight oxygen donors, producing systematic pose errors that follow charge rather than coordination chemistry.</w:t>
      </w:r>
    </w:p>
    <w:bookmarkEnd w:id="13"/>
    <w:bookmarkStart w:id="14" w:name="X64fda35aa61dc9a2d270ce2f8f6e58d72ad2321"/>
    <w:p>
      <w:pPr>
        <w:pStyle w:val="Heading3"/>
      </w:pPr>
      <w:r>
        <w:t xml:space="preserve">1.2 Prior art in metal docking: narrow niches, external dependencies</w:t>
      </w:r>
    </w:p>
    <w:p>
      <w:pPr>
        <w:pStyle w:val="FirstParagraph"/>
      </w:pPr>
      <w:r>
        <w:t xml:space="preserve">Santos-Martins</w:t>
      </w:r>
      <w:r>
        <w:t xml:space="preserve"> </w:t>
      </w:r>
      <w:r>
        <w:rPr>
          <w:i/>
          <w:iCs/>
        </w:rPr>
        <w:t xml:space="preserve">et al.</w:t>
      </w:r>
      <w:r>
        <w:t xml:space="preserve"> </w:t>
      </w:r>
      <w:r>
        <w:t xml:space="preserve">(2014) addressed the Zn²⁺ problem with the</w:t>
      </w:r>
      <w:r>
        <w:t xml:space="preserve"> </w:t>
      </w:r>
      <w:r>
        <w:rPr>
          <w:b/>
          <w:bCs/>
        </w:rPr>
        <w:t xml:space="preserve">AutoDock4Zn</w:t>
      </w:r>
      <w:r>
        <w:t xml:space="preserve"> </w:t>
      </w:r>
      <w:r>
        <w:t xml:space="preserve">force field </w:t>
      </w:r>
      <w:r>
        <w:rPr>
          <w:vertAlign w:val="superscript"/>
          <w:sz w:val="18"/>
        </w:rPr>
        <w:t>[6]</w:t>
      </w:r>
      <w:r>
        <w:t xml:space="preserve">, which places tetrahedral</w:t>
      </w:r>
      <w:r>
        <w:t xml:space="preserve"> </w:t>
      </w:r>
      <w:r>
        <w:rPr>
          <w:i/>
          <w:iCs/>
        </w:rPr>
        <w:t xml:space="preserve">pseudoatoms</w:t>
      </w:r>
      <w:r>
        <w:t xml:space="preserve"> </w:t>
      </w:r>
      <w:r>
        <w:t xml:space="preserve">(TZ) at the vacant coordination directions of the metal and encodes the directional potential into the affinity grids, substantially improving redocking accuracy over standard AD4 on 292 Zn²⁺ crystal complexes. AutoDock4Zn, however, is limited to Zn²⁺; it does not cover other transition metals, multi-metal sites, Jahn–Teller-active ions, or bridging waters. More recent protocols such as</w:t>
      </w:r>
      <w:r>
        <w:t xml:space="preserve"> </w:t>
      </w:r>
      <w:r>
        <w:rPr>
          <w:b/>
          <w:bCs/>
        </w:rPr>
        <w:t xml:space="preserve">MetalDock</w:t>
      </w:r>
      <w:r>
        <w:t xml:space="preserve"> </w:t>
      </w:r>
      <w:r>
        <w:rPr>
          <w:vertAlign w:val="superscript"/>
          <w:sz w:val="18"/>
        </w:rPr>
        <w:t>[7]</w:t>
      </w:r>
      <w:r>
        <w:t xml:space="preserve"> provide a reproducible workflow for metal-containing compounds (including metal-as-ligand cases) via optimized Lennard-Jones parameters and ligand-side dummy atoms, and</w:t>
      </w:r>
      <w:r>
        <w:t xml:space="preserve"> </w:t>
      </w:r>
      <w:r>
        <w:rPr>
          <w:b/>
          <w:bCs/>
        </w:rPr>
        <w:t xml:space="preserve">GPDOCK</w:t>
      </w:r>
      <w:r>
        <w:t xml:space="preserve"> </w:t>
      </w:r>
      <w:r>
        <w:rPr>
          <w:vertAlign w:val="superscript"/>
          <w:sz w:val="18"/>
        </w:rPr>
        <w:t>[8]</w:t>
      </w:r>
      <w:r>
        <w:t xml:space="preserve"> adds metal-coordination-aware pose evaluation; both, however, remain external pre-processing protocols layered on top of an existing engine rather than engine-level extensions. All of these workflows also require an external</w:t>
      </w:r>
      <w:r>
        <w:t xml:space="preserve"> </w:t>
      </w:r>
      <w:r>
        <w:rPr>
          <w:rStyle w:val="VerbatimChar"/>
          <w:b/>
          <w:bCs/>
        </w:rPr>
        <w:t xml:space="preserve">autogrid4</w:t>
      </w:r>
      <w:r>
        <w:t xml:space="preserve"> </w:t>
      </w:r>
      <w:r>
        <w:t xml:space="preserve">binary to pre-compute the AD4 affinity maps, an installation dependency that complicates high-throughput and cloud deployments.</w:t>
      </w:r>
    </w:p>
    <w:bookmarkEnd w:id="14"/>
    <w:bookmarkStart w:id="15" w:name="X142e6449e281c87d62994d8ea01bbefe269ba8a"/>
    <w:p>
      <w:pPr>
        <w:pStyle w:val="Heading3"/>
      </w:pPr>
      <w:r>
        <w:t xml:space="preserve">1.3 Covalent docking and the near-attack-conformation problem</w:t>
      </w:r>
    </w:p>
    <w:p>
      <w:pPr>
        <w:pStyle w:val="FirstParagraph"/>
      </w:pPr>
      <w:r>
        <w:t xml:space="preserve">Covalent drugs, ibrutinib (BTK, Cys481), afatinib (EGFR), and sotorasib (KRAS G12C) among them, account for a rapidly growing share of the approved-drug space </w:t>
      </w:r>
      <w:r>
        <w:rPr>
          <w:vertAlign w:val="superscript"/>
          <w:sz w:val="18"/>
        </w:rPr>
        <w:t>[9]</w:t>
      </w:r>
      <w:r>
        <w:t xml:space="preserve">. Docking such ligands requires that the search sample</w:t>
      </w:r>
      <w:r>
        <w:t xml:space="preserve"> </w:t>
      </w:r>
      <w:r>
        <w:rPr>
          <w:i/>
          <w:iCs/>
        </w:rPr>
        <w:t xml:space="preserve">productive nucleophilic geometries</w:t>
      </w:r>
      <w:r>
        <w:t xml:space="preserve">: near-attack conformation (NAC) theory states that efficient bond formation requires a nucleophile–electrophile distance below 3.0 Å together with a characteristic attack angle (≈180° for SN2 backside attack, ≈109.5° for Michael addition) </w:t>
      </w:r>
      <w:r>
        <w:rPr>
          <w:vertAlign w:val="superscript"/>
          <w:sz w:val="18"/>
        </w:rPr>
        <w:t>[10,11]</w:t>
      </w:r>
      <w:r>
        <w:t xml:space="preserve">. AutoDock Vina offers no mechanism to encode this geometric prior; CovDock (Schrödinger) does, but it is commercial and generally requires pre-built covalent adducts; and the covalent AutoDock</w:t>
      </w:r>
      <w:r>
        <w:t xml:space="preserve"> </w:t>
      </w:r>
      <w:r>
        <w:t xml:space="preserve">“two-point attractor”</w:t>
      </w:r>
      <w:r>
        <w:t xml:space="preserve"> </w:t>
      </w:r>
      <w:r>
        <w:t xml:space="preserve">method </w:t>
      </w:r>
      <w:r>
        <w:rPr>
          <w:vertAlign w:val="superscript"/>
          <w:sz w:val="18"/>
        </w:rPr>
        <w:t>[12]</w:t>
      </w:r>
      <w:r>
        <w:t xml:space="preserve"> is distance-only and manually configured. To our knowledge, no open-source engine natively guides the search toward NACs, detects them, and reports them in its output.</w:t>
      </w:r>
    </w:p>
    <w:bookmarkEnd w:id="15"/>
    <w:bookmarkStart w:id="16" w:name="contributions"/>
    <w:p>
      <w:pPr>
        <w:pStyle w:val="Heading3"/>
      </w:pPr>
      <w:r>
        <w:t xml:space="preserve">1.4 Contributions</w:t>
      </w:r>
    </w:p>
    <w:p>
      <w:pPr>
        <w:pStyle w:val="FirstParagraph"/>
      </w:pPr>
      <w:r>
        <w:t xml:space="preserve">We present</w:t>
      </w:r>
      <w:r>
        <w:t xml:space="preserve"> </w:t>
      </w:r>
      <w:r>
        <w:rPr>
          <w:b/>
          <w:bCs/>
        </w:rPr>
        <w:t xml:space="preserve">LKina</w:t>
      </w:r>
      <w:r>
        <w:t xml:space="preserve">, a derivative of AutoDock Vina 1.2.7 that closes both gaps at the engine level. Its principal contributions are:</w:t>
      </w:r>
    </w:p>
    <w:p>
      <w:pPr>
        <w:pStyle w:val="Compact"/>
        <w:numPr>
          <w:ilvl w:val="0"/>
          <w:numId w:val="1003"/>
        </w:numPr>
      </w:pPr>
      <w:r>
        <w:rPr>
          <w:b/>
          <w:bCs/>
        </w:rPr>
        <w:t xml:space="preserve">A 113-type AD4 atom system</w:t>
      </w:r>
      <w:r>
        <w:t xml:space="preserve"> </w:t>
      </w:r>
      <w:r>
        <w:t xml:space="preserve">covering the pharmaceutically relevant metals and metalloids of the periodic table (transition metals, lanthanides, actinides, s-block, p-block metals, oxidation-state variants), with force-field parameters embedded in the binary and parsed at run time.</w:t>
      </w:r>
    </w:p>
    <w:p>
      <w:pPr>
        <w:pStyle w:val="Compact"/>
        <w:numPr>
          <w:ilvl w:val="0"/>
          <w:numId w:val="1003"/>
        </w:numPr>
      </w:pPr>
      <w:r>
        <w:rPr>
          <w:b/>
          <w:bCs/>
        </w:rPr>
        <w:t xml:space="preserve">An inline AG4 affinity-map generator</w:t>
      </w:r>
      <w:r>
        <w:t xml:space="preserve"> </w:t>
      </w:r>
      <w:r>
        <w:t xml:space="preserve">(</w:t>
      </w:r>
      <w:r>
        <w:rPr>
          <w:rStyle w:val="VerbatimChar"/>
        </w:rPr>
        <w:t xml:space="preserve">--generate_maps</w:t>
      </w:r>
      <w:r>
        <w:t xml:space="preserve">), an independent C++ reimplementation of the AutoGrid 4.2 scoring function, that computes receptor grids on the fly, removing the external</w:t>
      </w:r>
      <w:r>
        <w:t xml:space="preserve"> </w:t>
      </w:r>
      <w:r>
        <w:rPr>
          <w:rStyle w:val="VerbatimChar"/>
        </w:rPr>
        <w:t xml:space="preserve">autogrid4</w:t>
      </w:r>
      <w:r>
        <w:t xml:space="preserve"> </w:t>
      </w:r>
      <w:r>
        <w:t xml:space="preserve">dependency entirely while remaining</w:t>
      </w:r>
      <w:r>
        <w:t xml:space="preserve"> </w:t>
      </w:r>
      <w:r>
        <w:rPr>
          <w:rStyle w:val="VerbatimChar"/>
        </w:rPr>
        <w:t xml:space="preserve">.map</w:t>
      </w:r>
      <w:r>
        <w:t xml:space="preserve">-compatible with existing caches.</w:t>
      </w:r>
    </w:p>
    <w:p>
      <w:pPr>
        <w:pStyle w:val="Compact"/>
        <w:numPr>
          <w:ilvl w:val="0"/>
          <w:numId w:val="1003"/>
        </w:numPr>
      </w:pPr>
      <w:r>
        <w:rPr>
          <w:b/>
          <w:bCs/>
        </w:rPr>
        <w:t xml:space="preserve">Four coordination pseudoatom systems (TZ/SQ/MH/JT)</w:t>
      </w:r>
      <w:r>
        <w:t xml:space="preserve"> </w:t>
      </w:r>
      <w:r>
        <w:t xml:space="preserve">with automatic</w:t>
      </w:r>
      <w:r>
        <w:t xml:space="preserve"> </w:t>
      </w:r>
      <w:r>
        <w:rPr>
          <w:b/>
          <w:bCs/>
        </w:rPr>
        <w:t xml:space="preserve">BVS oxidation-state inference</w:t>
      </w:r>
      <w:r>
        <w:t xml:space="preserve"> </w:t>
      </w:r>
      <w:r>
        <w:t xml:space="preserve">(Fe/Cu/Mn/Co/V/Mo/Ni),</w:t>
      </w:r>
      <w:r>
        <w:t xml:space="preserve"> </w:t>
      </w:r>
      <w:r>
        <w:rPr>
          <w:b/>
          <w:bCs/>
        </w:rPr>
        <w:t xml:space="preserve">Jahn–Teller distorted-octahedral modes</w:t>
      </w:r>
      <w:r>
        <w:t xml:space="preserve"> </w:t>
      </w:r>
      <w:r>
        <w:t xml:space="preserve">for Cu²⁺/Mn³⁺, and</w:t>
      </w:r>
      <w:r>
        <w:t xml:space="preserve"> </w:t>
      </w:r>
      <w:r>
        <w:rPr>
          <w:b/>
          <w:bCs/>
        </w:rPr>
        <w:t xml:space="preserve">semi-explicit water-bridge scoring</w:t>
      </w:r>
      <w:r>
        <w:t xml:space="preserve"> </w:t>
      </w:r>
      <w:r>
        <w:t xml:space="preserve">for coordinatively unsaturated sites.</w:t>
      </w:r>
    </w:p>
    <w:p>
      <w:pPr>
        <w:pStyle w:val="Compact"/>
        <w:numPr>
          <w:ilvl w:val="0"/>
          <w:numId w:val="1003"/>
        </w:numPr>
      </w:pPr>
      <w:r>
        <w:rPr>
          <w:b/>
          <w:bCs/>
        </w:rPr>
        <w:t xml:space="preserve">A four-tier reactive covalent docking framework (P1–P4)</w:t>
      </w:r>
      <w:r>
        <w:t xml:space="preserve">, Gaussian distance attractor, angle constraints, frame-atom torsion, and hybrid vdW scaling, with analytical gradients (finite-difference deviation ≤ 4.3 × 10⁻⁸ on all six presets; Section 3.2.2), explicit</w:t>
      </w:r>
      <w:r>
        <w:t xml:space="preserve"> </w:t>
      </w:r>
      <w:r>
        <w:rPr>
          <w:b/>
          <w:bCs/>
        </w:rPr>
        <w:t xml:space="preserve">NAC detection</w:t>
      </w:r>
      <w:r>
        <w:t xml:space="preserve">, a</w:t>
      </w:r>
      <w:r>
        <w:t xml:space="preserve"> </w:t>
      </w:r>
      <w:r>
        <w:rPr>
          <w:b/>
          <w:bCs/>
        </w:rPr>
        <w:t xml:space="preserve">C3 two-phase search strategy</w:t>
      </w:r>
      <w:r>
        <w:t xml:space="preserve">, and</w:t>
      </w:r>
      <w:r>
        <w:t xml:space="preserve"> </w:t>
      </w:r>
      <w:r>
        <w:rPr>
          <w:b/>
          <w:bCs/>
        </w:rPr>
        <w:t xml:space="preserve">six reaction presets</w:t>
      </w:r>
      <w:r>
        <w:t xml:space="preserve"> </w:t>
      </w:r>
      <w:r>
        <w:t xml:space="preserve">(</w:t>
      </w:r>
      <w:r>
        <w:rPr>
          <w:rStyle w:val="VerbatimChar"/>
        </w:rPr>
        <w:t xml:space="preserve">cys_michael</w:t>
      </w:r>
      <w:r>
        <w:t xml:space="preserve">,</w:t>
      </w:r>
      <w:r>
        <w:t xml:space="preserve"> </w:t>
      </w:r>
      <w:r>
        <w:rPr>
          <w:rStyle w:val="VerbatimChar"/>
        </w:rPr>
        <w:t xml:space="preserve">cys_sn2</w:t>
      </w:r>
      <w:r>
        <w:t xml:space="preserve">,</w:t>
      </w:r>
      <w:r>
        <w:t xml:space="preserve"> </w:t>
      </w:r>
      <w:r>
        <w:rPr>
          <w:rStyle w:val="VerbatimChar"/>
        </w:rPr>
        <w:t xml:space="preserve">ser_covalent</w:t>
      </w:r>
      <w:r>
        <w:t xml:space="preserve">,</w:t>
      </w:r>
      <w:r>
        <w:t xml:space="preserve"> </w:t>
      </w:r>
      <w:r>
        <w:rPr>
          <w:rStyle w:val="VerbatimChar"/>
        </w:rPr>
        <w:t xml:space="preserve">lys_targeting</w:t>
      </w:r>
      <w:r>
        <w:t xml:space="preserve">,</w:t>
      </w:r>
      <w:r>
        <w:t xml:space="preserve"> </w:t>
      </w:r>
      <w:r>
        <w:rPr>
          <w:rStyle w:val="VerbatimChar"/>
        </w:rPr>
        <w:t xml:space="preserve">boronic_acid</w:t>
      </w:r>
      <w:r>
        <w:t xml:space="preserve">,</w:t>
      </w:r>
      <w:r>
        <w:t xml:space="preserve"> </w:t>
      </w:r>
      <w:r>
        <w:rPr>
          <w:rStyle w:val="VerbatimChar"/>
        </w:rPr>
        <w:t xml:space="preserve">tyr_covalent</w:t>
      </w:r>
      <w:r>
        <w:t xml:space="preserve">).</w:t>
      </w:r>
    </w:p>
    <w:p>
      <w:pPr>
        <w:pStyle w:val="Compact"/>
        <w:numPr>
          <w:ilvl w:val="0"/>
          <w:numId w:val="1003"/>
        </w:numPr>
      </w:pPr>
      <w:r>
        <w:rPr>
          <w:b/>
          <w:bCs/>
        </w:rPr>
        <w:t xml:space="preserve">Metal-as-ligand support</w:t>
      </w:r>
      <w:r>
        <w:t xml:space="preserve"> </w:t>
      </w:r>
      <w:r>
        <w:t xml:space="preserve">through reverse metal–donor pair potentials (MetalDock</w:t>
      </w:r>
      <w:r>
        <w:t xml:space="preserve"> </w:t>
      </w:r>
      <w:r>
        <w:rPr>
          <w:rStyle w:val="VerbatimChar"/>
        </w:rPr>
        <w:t xml:space="preserve">standard_set</w:t>
      </w:r>
      <w:r>
        <w:t xml:space="preserve">-derived where available), metal-autodetection from receptor, single-ligand, and per-ligand batch inputs, and ligand-side coordination-geometry QC for Pt/Pd/Ru/Os/Re complexes.</w:t>
      </w:r>
    </w:p>
    <w:p>
      <w:pPr>
        <w:pStyle w:val="Compact"/>
        <w:numPr>
          <w:ilvl w:val="0"/>
          <w:numId w:val="1003"/>
        </w:numPr>
      </w:pPr>
      <w:r>
        <w:rPr>
          <w:b/>
          <w:bCs/>
        </w:rPr>
        <w:t xml:space="preserve">Full backward compatibility</w:t>
      </w:r>
      <w:r>
        <w:t xml:space="preserve">: for metal-free, non-reactive receptors the behavior is identical to Vina 1.2.7, and the licensing structure (GPL-3.0-or-later combined binary over Apache-2.0 Vina core + GPL-3.0 AG4 extension) is explicitly documented for legal re-use.</w:t>
      </w:r>
    </w:p>
    <w:p>
      <w:pPr>
        <w:pStyle w:val="FirstParagraph"/>
      </w:pPr>
      <w:r>
        <w:t xml:space="preserve">Contributions 1–2 are software engineering (atom-type coverage and a self-contained grid pipeline), 3–4 combine a scoring-function component (pairwise parameter substitution and the post-processing rerank terms) with an algorithmic component (vacant-direction injection, NAC constraints, the two-phase search), and 5–6 are workflow integrations.</w:t>
      </w:r>
      <w:r>
        <w:t xml:space="preserve"> </w:t>
      </w:r>
      <w:r>
        <w:rPr>
          <w:b/>
          <w:bCs/>
        </w:rPr>
        <w:t xml:space="preserve">Scope and applicability.</w:t>
      </w:r>
      <w:r>
        <w:t xml:space="preserve"> </w:t>
      </w:r>
      <w:r>
        <w:t xml:space="preserve">The coordination model covers mononuclear sites of any AD4 metal type; oxidation states are handled as explicit type tokens (e.g. </w:t>
      </w:r>
      <w:r>
        <w:rPr>
          <w:rStyle w:val="VerbatimChar"/>
        </w:rPr>
        <w:t xml:space="preserve">fe2</w:t>
      </w:r>
      <w:r>
        <w:t xml:space="preserve">/</w:t>
      </w:r>
      <w:r>
        <w:rPr>
          <w:rStyle w:val="VerbatimChar"/>
        </w:rPr>
        <w:t xml:space="preserve">fe3</w:t>
      </w:r>
      <w:r>
        <w:t xml:space="preserve">) or inferred by the BVS heuristic for Fe/Cu/Mn/Co/V/Mo/Ni; supported coordination geometries are tetrahedral, square-planar, linear, octahedral, and Jahn–Teller-elongated octahedral. The reactive framework covers nucleophilic addition and substitution at Cys/Ser/Lys/Tyr side chains and reversible boronate formation (six presets, Table 4). LKina does not currently handle: multi-metal clusters with bridging ligands, water-mediated coordination beyond the semi-explicit two-water model, metal spin-state or ligand-field energetic differences, covalent adduct formation itself (docking targets the pre-reaction complex), or post-reaction conformational relaxation. These boundaries are restated with failure cases in Section 4.5.</w:t>
      </w:r>
    </w:p>
    <w:p>
      <w:r>
        <w:pict>
          <v:rect style="width:0;height:1.5pt" o:hralign="center" o:hrstd="t" o:hr="t"/>
        </w:pict>
      </w:r>
    </w:p>
    <w:bookmarkEnd w:id="16"/>
    <w:bookmarkEnd w:id="17"/>
    <w:bookmarkStart w:id="30" w:name="methods"/>
    <w:p>
      <w:pPr>
        <w:pStyle w:val="Heading2"/>
      </w:pPr>
      <w:r>
        <w:t xml:space="preserve">2. Methods</w:t>
      </w:r>
    </w:p>
    <w:bookmarkStart w:id="18" w:name="Xf8504f568b4d7486447a788241c53f738ac2fe4"/>
    <w:p>
      <w:pPr>
        <w:pStyle w:val="Heading3"/>
      </w:pPr>
      <w:r>
        <w:t xml:space="preserve">2.1 Baseline: AutoDock Vina search engine and the AD4 scoring function</w:t>
      </w:r>
    </w:p>
    <w:p>
      <w:pPr>
        <w:pStyle w:val="FirstParagraph"/>
      </w:pPr>
      <w:r>
        <w:t xml:space="preserve">LKina inherits the Vina global search (population-based Monte Carlo with iterated local search), the local optimization (L-BFGS on a smooth approximation of the score), and OpenMP multithreading over independent pose searches. New functionality is added as an additional energy layer on top of the grid-based AD4 potential, so the search machinery, convergence behavior, thread safety, determinism under a fixed seed, remains untouched.</w:t>
      </w:r>
    </w:p>
    <w:p>
      <w:pPr>
        <w:pStyle w:val="BodyText"/>
      </w:pPr>
      <w:r>
        <w:t xml:space="preserve">The AD4 empirical binding free energy is</w:t>
      </w:r>
    </w:p>
    <w:p>
      <w:pPr>
        <w:pStyle w:val="BodyText"/>
      </w:pPr>
      <m:oMathPara>
        <m:oMathParaPr>
          <m:jc m:val="center"/>
        </m:oMathParaPr>
        <m:oMath>
          <m:r>
            <m:rPr>
              <m:sty m:val="p"/>
            </m:rPr>
            <m:t>Δ</m:t>
          </m:r>
          <m:sSub>
            <m:e>
              <m:r>
                <m:t>G</m:t>
              </m:r>
            </m:e>
            <m:sub>
              <m:r>
                <m:rPr>
                  <m:nor/>
                  <m:sty m:val="p"/>
                </m:rPr>
                <m:t>bind</m:t>
              </m:r>
            </m:sub>
          </m:sSub>
          <m:r>
            <m:rPr>
              <m:sty m:val="p"/>
            </m:rPr>
            <m:t>=</m:t>
          </m:r>
          <m:sSub>
            <m:e>
              <m:r>
                <m:t>W</m:t>
              </m:r>
            </m:e>
            <m:sub>
              <m:r>
                <m:rPr>
                  <m:nor/>
                  <m:sty m:val="p"/>
                </m:rPr>
                <m:t>vdW</m:t>
              </m:r>
            </m:sub>
          </m:sSub>
          <m:r>
            <m:t> </m:t>
          </m:r>
          <m:r>
            <m:rPr>
              <m:sty m:val="p"/>
            </m:rPr>
            <m:t>Δ</m:t>
          </m:r>
          <m:sSub>
            <m:e>
              <m:r>
                <m:t>H</m:t>
              </m:r>
            </m:e>
            <m:sub>
              <m:r>
                <m:rPr>
                  <m:nor/>
                  <m:sty m:val="p"/>
                </m:rPr>
                <m:t>vdW</m:t>
              </m:r>
            </m:sub>
          </m:sSub>
          <m:r>
            <m:rPr>
              <m:sty m:val="p"/>
            </m:rPr>
            <m:t>+</m:t>
          </m:r>
          <m:sSub>
            <m:e>
              <m:r>
                <m:t>W</m:t>
              </m:r>
            </m:e>
            <m:sub>
              <m:r>
                <m:rPr>
                  <m:nor/>
                  <m:sty m:val="p"/>
                </m:rPr>
                <m:t>Hbond</m:t>
              </m:r>
            </m:sub>
          </m:sSub>
          <m:r>
            <m:t> </m:t>
          </m:r>
          <m:r>
            <m:rPr>
              <m:sty m:val="p"/>
            </m:rPr>
            <m:t>Δ</m:t>
          </m:r>
          <m:sSub>
            <m:e>
              <m:r>
                <m:t>H</m:t>
              </m:r>
            </m:e>
            <m:sub>
              <m:r>
                <m:rPr>
                  <m:nor/>
                  <m:sty m:val="p"/>
                </m:rPr>
                <m:t>Hbond</m:t>
              </m:r>
            </m:sub>
          </m:sSub>
          <m:r>
            <m:rPr>
              <m:sty m:val="p"/>
            </m:rPr>
            <m:t>+</m:t>
          </m:r>
          <m:sSub>
            <m:e>
              <m:r>
                <m:t>W</m:t>
              </m:r>
            </m:e>
            <m:sub>
              <m:r>
                <m:rPr>
                  <m:nor/>
                  <m:sty m:val="p"/>
                </m:rPr>
                <m:t>elec</m:t>
              </m:r>
            </m:sub>
          </m:sSub>
          <m:r>
            <m:t> </m:t>
          </m:r>
          <m:r>
            <m:rPr>
              <m:sty m:val="p"/>
            </m:rPr>
            <m:t>Δ</m:t>
          </m:r>
          <m:sSub>
            <m:e>
              <m:r>
                <m:t>H</m:t>
              </m:r>
            </m:e>
            <m:sub>
              <m:r>
                <m:rPr>
                  <m:nor/>
                  <m:sty m:val="p"/>
                </m:rPr>
                <m:t>elec</m:t>
              </m:r>
            </m:sub>
          </m:sSub>
          <m:r>
            <m:rPr>
              <m:sty m:val="p"/>
            </m:rPr>
            <m:t>+</m:t>
          </m:r>
          <m:sSub>
            <m:e>
              <m:r>
                <m:t>W</m:t>
              </m:r>
            </m:e>
            <m:sub>
              <m:r>
                <m:rPr>
                  <m:nor/>
                  <m:sty m:val="p"/>
                </m:rPr>
                <m:t>desolv</m:t>
              </m:r>
            </m:sub>
          </m:sSub>
          <m:r>
            <m:t> </m:t>
          </m:r>
          <m:r>
            <m:rPr>
              <m:sty m:val="p"/>
            </m:rPr>
            <m:t>Δ</m:t>
          </m:r>
          <m:sSub>
            <m:e>
              <m:r>
                <m:t>G</m:t>
              </m:r>
            </m:e>
            <m:sub>
              <m:r>
                <m:rPr>
                  <m:nor/>
                  <m:sty m:val="p"/>
                </m:rPr>
                <m:t>desolv</m:t>
              </m:r>
            </m:sub>
          </m:sSub>
          <m:r>
            <m:rPr>
              <m:sty m:val="p"/>
            </m:rPr>
            <m:t>+</m:t>
          </m:r>
          <m:sSub>
            <m:e>
              <m:r>
                <m:t>W</m:t>
              </m:r>
            </m:e>
            <m:sub>
              <m:r>
                <m:rPr>
                  <m:nor/>
                  <m:sty m:val="p"/>
                </m:rPr>
                <m:t>tor</m:t>
              </m:r>
            </m:sub>
          </m:sSub>
          <m:r>
            <m:t> </m:t>
          </m:r>
          <m:r>
            <m:rPr>
              <m:sty m:val="p"/>
            </m:rPr>
            <m:t>Δ</m:t>
          </m:r>
          <m:sSub>
            <m:e>
              <m:r>
                <m:t>S</m:t>
              </m:r>
            </m:e>
            <m:sub>
              <m:r>
                <m:rPr>
                  <m:nor/>
                  <m:sty m:val="p"/>
                </m:rPr>
                <m:t>tor</m:t>
              </m:r>
            </m:sub>
          </m:sSub>
        </m:oMath>
      </m:oMathPara>
    </w:p>
    <w:p>
      <w:pPr>
        <w:pStyle w:val="FirstParagraph"/>
      </w:pPr>
      <w:r>
        <w:t xml:space="preserve">with default weights</w:t>
      </w:r>
      <w:r>
        <w:t xml:space="preserve"> </w:t>
      </w:r>
      <m:oMath>
        <m:sSub>
          <m:e>
            <m:r>
              <m:t>W</m:t>
            </m:r>
          </m:e>
          <m:sub>
            <m:r>
              <m:rPr>
                <m:nor/>
                <m:sty m:val="p"/>
              </m:rPr>
              <m:t>vdW</m:t>
            </m:r>
          </m:sub>
        </m:sSub>
        <m:r>
          <m:rPr>
            <m:sty m:val="p"/>
          </m:rPr>
          <m:t>=</m:t>
        </m:r>
        <m:r>
          <m:t>0.1662</m:t>
        </m:r>
      </m:oMath>
      <w:r>
        <w:t xml:space="preserve">,</w:t>
      </w:r>
      <w:r>
        <w:t xml:space="preserve"> </w:t>
      </w:r>
      <m:oMath>
        <m:sSub>
          <m:e>
            <m:r>
              <m:t>W</m:t>
            </m:r>
          </m:e>
          <m:sub>
            <m:r>
              <m:rPr>
                <m:nor/>
                <m:sty m:val="p"/>
              </m:rPr>
              <m:t>Hbond</m:t>
            </m:r>
          </m:sub>
        </m:sSub>
        <m:r>
          <m:rPr>
            <m:sty m:val="p"/>
          </m:rPr>
          <m:t>=</m:t>
        </m:r>
        <m:r>
          <m:t>0.1209</m:t>
        </m:r>
      </m:oMath>
      <w:r>
        <w:t xml:space="preserve">,</w:t>
      </w:r>
      <w:r>
        <w:t xml:space="preserve"> </w:t>
      </w:r>
      <m:oMath>
        <m:sSub>
          <m:e>
            <m:r>
              <m:t>W</m:t>
            </m:r>
          </m:e>
          <m:sub>
            <m:r>
              <m:rPr>
                <m:nor/>
                <m:sty m:val="p"/>
              </m:rPr>
              <m:t>elec</m:t>
            </m:r>
          </m:sub>
        </m:sSub>
        <m:r>
          <m:rPr>
            <m:sty m:val="p"/>
          </m:rPr>
          <m:t>=</m:t>
        </m:r>
        <m:r>
          <m:t>0.1406</m:t>
        </m:r>
      </m:oMath>
      <w:r>
        <w:t xml:space="preserve">,</w:t>
      </w:r>
      <w:r>
        <w:t xml:space="preserve"> </w:t>
      </w:r>
      <m:oMath>
        <m:sSub>
          <m:e>
            <m:r>
              <m:t>W</m:t>
            </m:r>
          </m:e>
          <m:sub>
            <m:r>
              <m:rPr>
                <m:nor/>
                <m:sty m:val="p"/>
              </m:rPr>
              <m:t>desolv</m:t>
            </m:r>
          </m:sub>
        </m:sSub>
        <m:r>
          <m:rPr>
            <m:sty m:val="p"/>
          </m:rPr>
          <m:t>=</m:t>
        </m:r>
        <m:r>
          <m:t>0.1322</m:t>
        </m:r>
      </m:oMath>
      <w:r>
        <w:t xml:space="preserve">, and</w:t>
      </w:r>
      <w:r>
        <w:t xml:space="preserve"> </w:t>
      </w:r>
      <m:oMath>
        <m:sSub>
          <m:e>
            <m:r>
              <m:t>W</m:t>
            </m:r>
          </m:e>
          <m:sub>
            <m:r>
              <m:rPr>
                <m:nor/>
                <m:sty m:val="p"/>
              </m:rPr>
              <m:t>tor</m:t>
            </m:r>
          </m:sub>
        </m:sSub>
        <m:r>
          <m:rPr>
            <m:sty m:val="p"/>
          </m:rPr>
          <m:t>=</m:t>
        </m:r>
        <m:r>
          <m:t>0.2983</m:t>
        </m:r>
      </m:oMath>
      <w:r>
        <w:t xml:space="preserve"> </w:t>
      </w:r>
      <w:r>
        <w:t xml:space="preserve">(AutoDock4 </w:t>
      </w:r>
      <w:r>
        <w:rPr>
          <w:vertAlign w:val="superscript"/>
          <w:sz w:val="18"/>
        </w:rPr>
        <w:t>[3]</w:t>
      </w:r>
      <w:r>
        <w:t xml:space="preserve">). In grid-based docking, the receptor contribution is pre-computed on a Cartesian grid and the ligand energy during the search is obtained by trilinear interpolation, which keeps the per-pose evaluation effectively O(N_ligand). LKina re-implements this entire grid pipeline in-engine (Section 2.3).</w:t>
      </w:r>
      <w:r>
        <w:t xml:space="preserve"> </w:t>
      </w:r>
      <w:r>
        <w:rPr>
          <w:b/>
          <w:bCs/>
        </w:rPr>
        <w:t xml:space="preserve">A note on units and terminology.</w:t>
      </w:r>
      <w:r>
        <w:t xml:space="preserve"> </w:t>
      </w:r>
      <w:r>
        <w:t xml:space="preserve">Throughout this paper,</w:t>
      </w:r>
      <w:r>
        <w:t xml:space="preserve"> </w:t>
      </w:r>
      <w:r>
        <w:t xml:space="preserve">“score”</w:t>
      </w:r>
      <w:r>
        <w:t xml:space="preserve">,</w:t>
      </w:r>
      <w:r>
        <w:t xml:space="preserve"> </w:t>
      </w:r>
      <w:r>
        <w:t xml:space="preserve">“affinity”</w:t>
      </w:r>
      <w:r>
        <w:t xml:space="preserve">, and</w:t>
      </w:r>
      <w:r>
        <w:t xml:space="preserve"> </w:t>
      </w:r>
      <w:r>
        <w:t xml:space="preserve">“energy”</w:t>
      </w:r>
      <w:r>
        <w:t xml:space="preserve"> </w:t>
      </w:r>
      <w:r>
        <w:t xml:space="preserve">refer to the empirical docking score of the parent function, reported in kcal/mol by convention of the AutoDock family. These values are not calibrated binding or reaction free energies, and scores from different functions (vina, vinardo, AD4, and the metal/covalent-extended AD4) are not directly comparable to one another; cross-function comparisons in this work are therefore made on geometry (coordination distances, RMSD) rather than on score equality.</w:t>
      </w:r>
    </w:p>
    <w:bookmarkEnd w:id="18"/>
    <w:bookmarkStart w:id="19" w:name="extended-atom-type-system-113-types"/>
    <w:p>
      <w:pPr>
        <w:pStyle w:val="Heading3"/>
      </w:pPr>
      <w:r>
        <w:t xml:space="preserve">2.2 Extended atom-type system (113 types)</w:t>
      </w:r>
    </w:p>
    <w:p>
      <w:pPr>
        <w:pStyle w:val="FirstParagraph"/>
      </w:pPr>
      <w:r>
        <w:t xml:space="preserve">Standard AutoDock4 defines ~22 atom types. LKina extends the AD4 type table to</w:t>
      </w:r>
      <w:r>
        <w:t xml:space="preserve"> </w:t>
      </w:r>
      <w:r>
        <w:rPr>
          <w:b/>
          <w:bCs/>
        </w:rPr>
        <w:t xml:space="preserve">113 element/metalloid types</w:t>
      </w:r>
      <w:r>
        <w:t xml:space="preserve"> </w:t>
      </w:r>
      <w:r>
        <w:t xml:space="preserve">(indices 0–112) plus the four coordination pseudoatoms TZ, SQ, MH, JT (indices 113–116;</w:t>
      </w:r>
      <w:r>
        <w:t xml:space="preserve"> </w:t>
      </w:r>
      <w:r>
        <w:rPr>
          <w:rStyle w:val="VerbatimChar"/>
        </w:rPr>
        <w:t xml:space="preserve">AD_TYPE_SIZE = 117</w:t>
      </w:r>
      <w:r>
        <w:t xml:space="preserve">). The types are organized by medicinal-chemistry use case:</w:t>
      </w:r>
    </w:p>
    <w:p>
      <w:pPr>
        <w:pStyle w:val="BodyText"/>
      </w:pPr>
      <w:r>
        <w:rPr>
          <w:b/>
          <w:bCs/>
        </w:rPr>
        <w:t xml:space="preserve">Table 1.</w:t>
      </w:r>
      <w:r>
        <w:t xml:space="preserve"> </w:t>
      </w:r>
      <w:r>
        <w:t xml:space="preserve">Classification of the 113 AD4 atom types (indices 0–112, covering 80+ metals and metalloids).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Representative types</w:t>
            </w:r>
          </w:p>
        </w:tc>
        <w:tc>
          <w:tcPr/>
          <w:p>
            <w:pPr>
              <w:pStyle w:val="Compact"/>
            </w:pPr>
            <w:r>
              <w:t xml:space="preserve">Typical application</w:t>
            </w:r>
          </w:p>
        </w:tc>
      </w:tr>
      <w:tr>
        <w:tc>
          <w:tcPr/>
          <w:p>
            <w:pPr>
              <w:pStyle w:val="Compact"/>
            </w:pPr>
            <w:r>
              <w:t xml:space="preserve">Biological metal cofactors</w:t>
            </w:r>
          </w:p>
        </w:tc>
        <w:tc>
          <w:tcPr/>
          <w:p>
            <w:pPr>
              <w:pStyle w:val="Compact"/>
            </w:pPr>
            <w:r>
              <w:rPr>
                <w:rStyle w:val="VerbatimChar"/>
              </w:rPr>
              <w:t xml:space="preserve">Mg Ca Mn Fe Co Ni Cu Zn</w:t>
            </w:r>
            <w:r>
              <w:t xml:space="preserve"> </w:t>
            </w:r>
            <w:r>
              <w:t xml:space="preserve">(+oxidation variants)</w:t>
            </w:r>
          </w:p>
        </w:tc>
        <w:tc>
          <w:tcPr/>
          <w:p>
            <w:pPr>
              <w:pStyle w:val="Compact"/>
            </w:pPr>
            <w:r>
              <w:t xml:space="preserve">metalloenzyme site docking</w:t>
            </w:r>
          </w:p>
        </w:tc>
      </w:tr>
      <w:tr>
        <w:tc>
          <w:tcPr/>
          <w:p>
            <w:pPr>
              <w:pStyle w:val="Compact"/>
            </w:pPr>
            <w:r>
              <w:t xml:space="preserve">Anticancer metal drugs</w:t>
            </w:r>
          </w:p>
        </w:tc>
        <w:tc>
          <w:tcPr/>
          <w:p>
            <w:pPr>
              <w:pStyle w:val="Compact"/>
            </w:pPr>
            <w:r>
              <w:rPr>
                <w:rStyle w:val="VerbatimChar"/>
              </w:rPr>
              <w:t xml:space="preserve">Pt Pd Ru Ir Au Rh</w:t>
            </w:r>
          </w:p>
        </w:tc>
        <w:tc>
          <w:tcPr/>
          <w:p>
            <w:pPr>
              <w:pStyle w:val="Compact"/>
            </w:pPr>
            <w:r>
              <w:t xml:space="preserve">cisplatin, NAMI-A/RAPTA, auranofin</w:t>
            </w:r>
          </w:p>
        </w:tc>
      </w:tr>
      <w:tr>
        <w:tc>
          <w:tcPr/>
          <w:p>
            <w:pPr>
              <w:pStyle w:val="Compact"/>
            </w:pPr>
            <w:r>
              <w:t xml:space="preserve">Radiopharmaceutical metals</w:t>
            </w:r>
          </w:p>
        </w:tc>
        <w:tc>
          <w:tcPr/>
          <w:p>
            <w:pPr>
              <w:pStyle w:val="Compact"/>
            </w:pPr>
            <w:r>
              <w:rPr>
                <w:rStyle w:val="VerbatimChar"/>
              </w:rPr>
              <w:t xml:space="preserve">Tc Re Ga Y Zr Lu Sm Ho Ra Ac Th</w:t>
            </w:r>
          </w:p>
        </w:tc>
        <w:tc>
          <w:tcPr/>
          <w:p>
            <w:pPr>
              <w:pStyle w:val="Compact"/>
            </w:pPr>
            <w:r>
              <w:t xml:space="preserve">SPECT/PET/α-therapy agents</w:t>
            </w:r>
          </w:p>
        </w:tc>
      </w:tr>
      <w:tr>
        <w:tc>
          <w:tcPr/>
          <w:p>
            <w:pPr>
              <w:pStyle w:val="Compact"/>
            </w:pPr>
            <w:r>
              <w:t xml:space="preserve">Toxicology targets</w:t>
            </w:r>
          </w:p>
        </w:tc>
        <w:tc>
          <w:tcPr/>
          <w:p>
            <w:pPr>
              <w:pStyle w:val="Compact"/>
            </w:pPr>
            <w:r>
              <w:rPr>
                <w:rStyle w:val="VerbatimChar"/>
              </w:rPr>
              <w:t xml:space="preserve">Cd Hg Tl Pb As Sb Bi</w:t>
            </w:r>
          </w:p>
        </w:tc>
        <w:tc>
          <w:tcPr/>
          <w:p>
            <w:pPr>
              <w:pStyle w:val="Compact"/>
            </w:pPr>
            <w:r>
              <w:t xml:space="preserve">metal-toxin ligands</w:t>
            </w:r>
          </w:p>
        </w:tc>
      </w:tr>
      <w:tr>
        <w:tc>
          <w:tcPr/>
          <w:p>
            <w:pPr>
              <w:pStyle w:val="Compact"/>
            </w:pPr>
            <w:r>
              <w:t xml:space="preserve">s-block metals</w:t>
            </w:r>
          </w:p>
        </w:tc>
        <w:tc>
          <w:tcPr/>
          <w:p>
            <w:pPr>
              <w:pStyle w:val="Compact"/>
            </w:pPr>
            <w:r>
              <w:rPr>
                <w:rStyle w:val="VerbatimChar"/>
              </w:rPr>
              <w:t xml:space="preserve">Li Na K Rb Cs Al Sr Ba</w:t>
            </w:r>
          </w:p>
        </w:tc>
        <w:tc>
          <w:tcPr/>
          <w:p>
            <w:pPr>
              <w:pStyle w:val="Compact"/>
            </w:pPr>
            <w:r>
              <w:t xml:space="preserve">ion-channel and kinase targets</w:t>
            </w:r>
          </w:p>
        </w:tc>
      </w:tr>
      <w:tr>
        <w:tc>
          <w:tcPr/>
          <w:p>
            <w:pPr>
              <w:pStyle w:val="Compact"/>
            </w:pPr>
            <w:r>
              <w:t xml:space="preserve">Early transition metals</w:t>
            </w:r>
          </w:p>
        </w:tc>
        <w:tc>
          <w:tcPr/>
          <w:p>
            <w:pPr>
              <w:pStyle w:val="Compact"/>
            </w:pPr>
            <w:r>
              <w:rPr>
                <w:rStyle w:val="VerbatimChar"/>
              </w:rPr>
              <w:t xml:space="preserve">V Cr Ti Sc Nb Hf Ta W Mo</w:t>
            </w:r>
          </w:p>
        </w:tc>
        <w:tc>
          <w:tcPr/>
          <w:p>
            <w:pPr>
              <w:pStyle w:val="Compact"/>
            </w:pPr>
            <w:r>
              <w:t xml:space="preserve">insulin mimetics, sulfite oxidase (Mo/W)</w:t>
            </w:r>
          </w:p>
        </w:tc>
      </w:tr>
      <w:tr>
        <w:tc>
          <w:tcPr/>
          <w:p>
            <w:pPr>
              <w:pStyle w:val="Compact"/>
            </w:pPr>
            <w:r>
              <w:t xml:space="preserve">Lanthanides</w:t>
            </w:r>
          </w:p>
        </w:tc>
        <w:tc>
          <w:tcPr/>
          <w:p>
            <w:pPr>
              <w:pStyle w:val="Compact"/>
            </w:pPr>
            <w:r>
              <w:t xml:space="preserve">La–Lu (13 types)</w:t>
            </w:r>
          </w:p>
        </w:tc>
        <w:tc>
          <w:tcPr/>
          <w:p>
            <w:pPr>
              <w:pStyle w:val="Compact"/>
            </w:pPr>
            <w:r>
              <w:t xml:space="preserve">MRI contrast agents (Gd)</w:t>
            </w:r>
          </w:p>
        </w:tc>
      </w:tr>
      <w:tr>
        <w:tc>
          <w:tcPr/>
          <w:p>
            <w:pPr>
              <w:pStyle w:val="Compact"/>
            </w:pPr>
            <w:r>
              <w:t xml:space="preserve">Actinides</w:t>
            </w:r>
          </w:p>
        </w:tc>
        <w:tc>
          <w:tcPr/>
          <w:p>
            <w:pPr>
              <w:pStyle w:val="Compact"/>
            </w:pPr>
            <w:r>
              <w:rPr>
                <w:rStyle w:val="VerbatimChar"/>
              </w:rPr>
              <w:t xml:space="preserve">Ac Th Pa U Np Pu Am Cm Bk Cf Es Fm</w:t>
            </w:r>
          </w:p>
        </w:tc>
        <w:tc>
          <w:tcPr/>
          <w:p>
            <w:pPr>
              <w:pStyle w:val="Compact"/>
            </w:pPr>
            <w:r>
              <w:t xml:space="preserve">targeted α therapy (Ac-225, Ra-223)</w:t>
            </w:r>
          </w:p>
        </w:tc>
      </w:tr>
      <w:tr>
        <w:tc>
          <w:tcPr/>
          <w:p>
            <w:pPr>
              <w:pStyle w:val="Compact"/>
            </w:pPr>
            <w:r>
              <w:t xml:space="preserve">Metalloids / p-block</w:t>
            </w:r>
          </w:p>
        </w:tc>
        <w:tc>
          <w:tcPr/>
          <w:p>
            <w:pPr>
              <w:pStyle w:val="Compact"/>
            </w:pPr>
            <w:r>
              <w:rPr>
                <w:rStyle w:val="VerbatimChar"/>
              </w:rPr>
              <w:t xml:space="preserve">Se As Ge Ga In Sn B Be Te Po At</w:t>
            </w:r>
          </w:p>
        </w:tc>
        <w:tc>
          <w:tcPr/>
          <w:p>
            <w:pPr>
              <w:pStyle w:val="Compact"/>
            </w:pPr>
            <w:r>
              <w:t xml:space="preserve">selenoenzymes, boron-based drugs</w:t>
            </w:r>
          </w:p>
        </w:tc>
      </w:tr>
      <w:tr>
        <w:tc>
          <w:tcPr/>
          <w:p>
            <w:pPr>
              <w:pStyle w:val="Compact"/>
            </w:pPr>
            <w:r>
              <w:t xml:space="preserve">Oxidation-state variants</w:t>
            </w:r>
          </w:p>
        </w:tc>
        <w:tc>
          <w:tcPr/>
          <w:p>
            <w:pPr>
              <w:pStyle w:val="Compact"/>
            </w:pPr>
            <w:r>
              <w:rPr>
                <w:rStyle w:val="VerbatimChar"/>
              </w:rPr>
              <w:t xml:space="preserve">Fe2 Fe3 Cu1 Cu2 cu2_jt Mn2 Mn3 mn3_jt Co2 Co3 V4 V5 Mo4 Mo6 As3 As5 Sb3 Sb5 uo2</w:t>
            </w:r>
          </w:p>
        </w:tc>
        <w:tc>
          <w:tcPr/>
          <w:p>
            <w:pPr>
              <w:pStyle w:val="Compact"/>
            </w:pPr>
            <w:r>
              <w:t xml:space="preserve">oxidation-state-specific docking</w:t>
            </w:r>
          </w:p>
        </w:tc>
      </w:tr>
      <w:tr>
        <w:tc>
          <w:tcPr/>
          <w:p>
            <w:pPr>
              <w:pStyle w:val="Compact"/>
            </w:pPr>
            <w:r>
              <w:t xml:space="preserve">Aqueous coordination variants</w:t>
            </w:r>
          </w:p>
        </w:tc>
        <w:tc>
          <w:tcPr/>
          <w:p>
            <w:pPr>
              <w:pStyle w:val="Compact"/>
            </w:pPr>
            <w:r>
              <w:rPr>
                <w:rStyle w:val="VerbatimChar"/>
              </w:rPr>
              <w:t xml:space="preserve">mg_aq ca_aq fe3_aq mn2_aq co2_aq</w:t>
            </w:r>
          </w:p>
        </w:tc>
        <w:tc>
          <w:tcPr/>
          <w:p>
            <w:pPr>
              <w:pStyle w:val="Compact"/>
            </w:pPr>
            <w:r>
              <w:t xml:space="preserve">active-site water coordination</w:t>
            </w:r>
          </w:p>
        </w:tc>
      </w:tr>
      <w:tr>
        <w:tc>
          <w:tcPr/>
          <w:p>
            <w:pPr>
              <w:pStyle w:val="Compact"/>
            </w:pPr>
            <w:r>
              <w:t xml:space="preserve">Contrast-agent adducts</w:t>
            </w:r>
          </w:p>
        </w:tc>
        <w:tc>
          <w:tcPr/>
          <w:p>
            <w:pPr>
              <w:pStyle w:val="Compact"/>
            </w:pPr>
            <w:r>
              <w:rPr>
                <w:rStyle w:val="VerbatimChar"/>
              </w:rPr>
              <w:t xml:space="preserve">Gd_DTPA Gd_DOTA</w:t>
            </w:r>
          </w:p>
        </w:tc>
        <w:tc>
          <w:tcPr/>
          <w:p>
            <w:pPr>
              <w:pStyle w:val="Compact"/>
            </w:pPr>
            <w:r>
              <w:t xml:space="preserve">Gd-based MRI agents</w:t>
            </w:r>
          </w:p>
        </w:tc>
      </w:tr>
    </w:tbl>
    <w:p>
      <w:pPr>
        <w:pStyle w:val="BodyText"/>
      </w:pPr>
      <w:r>
        <w:t xml:space="preserve">Force-field parameters (</w:t>
      </w:r>
      <m:oMath>
        <m:sSub>
          <m:e>
            <m:r>
              <m:t>R</m:t>
            </m:r>
          </m:e>
          <m:sub>
            <m:r>
              <m:rPr>
                <m:nor/>
                <m:sty m:val="p"/>
              </m:rPr>
              <m:t>eq</m:t>
            </m:r>
          </m:sub>
        </m:sSub>
      </m:oMath>
      <w:r>
        <w:t xml:space="preserve">,</w:t>
      </w:r>
      <w:r>
        <w:t xml:space="preserve"> </w:t>
      </w:r>
      <m:oMath>
        <m:r>
          <m:t>ε</m:t>
        </m:r>
      </m:oMath>
      <w:r>
        <w:t xml:space="preserve">, solvation terms) are embedded as parameter text in</w:t>
      </w:r>
      <w:r>
        <w:t xml:space="preserve"> </w:t>
      </w:r>
      <w:r>
        <w:rPr>
          <w:rStyle w:val="VerbatimChar"/>
        </w:rPr>
        <w:t xml:space="preserve">ad4_parameter_data.cpp</w:t>
      </w:r>
      <w:r>
        <w:t xml:space="preserve"> </w:t>
      </w:r>
      <w:r>
        <w:t xml:space="preserve">and parsed at run time to build the</w:t>
      </w:r>
      <w:r>
        <w:t xml:space="preserve"> </w:t>
      </w:r>
      <w:r>
        <w:rPr>
          <w:rStyle w:val="VerbatimChar"/>
        </w:rPr>
        <w:t xml:space="preserve">atom_kind</w:t>
      </w:r>
      <w:r>
        <w:t xml:space="preserve"> </w:t>
      </w:r>
      <w:r>
        <w:t xml:space="preserve">lookup table, adding or tuning a type requires no recompilation. The vdW parameters follow the MetalDock MC-optimized LJ fits </w:t>
      </w:r>
      <w:r>
        <w:rPr>
          <w:vertAlign w:val="superscript"/>
          <w:sz w:val="18"/>
        </w:rPr>
        <w:t>[7]</w:t>
      </w:r>
      <w:r>
        <w:t xml:space="preserve"> and the Harding compilation of metal–donor distances from the Cambridge Structural Database </w:t>
      </w:r>
      <w:r>
        <w:rPr>
          <w:vertAlign w:val="superscript"/>
          <w:sz w:val="18"/>
        </w:rPr>
        <w:t>[13]</w:t>
      </w:r>
      <w:r>
        <w:t xml:space="preserve">; Se receives independent parameters (</w:t>
      </w:r>
      <m:oMath>
        <m:sSub>
          <m:e>
            <m:r>
              <m:t>R</m:t>
            </m:r>
          </m:e>
          <m:sub>
            <m:r>
              <m:rPr>
                <m:nor/>
                <m:sty m:val="p"/>
              </m:rPr>
              <m:t>eq</m:t>
            </m:r>
          </m:sub>
        </m:sSub>
        <m:r>
          <m:rPr>
            <m:sty m:val="p"/>
          </m:rPr>
          <m:t>=</m:t>
        </m:r>
        <m:r>
          <m:t>2.03</m:t>
        </m:r>
      </m:oMath>
      <w:r>
        <w:t xml:space="preserve"> </w:t>
      </w:r>
      <w:r>
        <w:t xml:space="preserve">Å,</w:t>
      </w:r>
      <w:r>
        <w:t xml:space="preserve"> </w:t>
      </w:r>
      <m:oMath>
        <m:r>
          <m:t>ε</m:t>
        </m:r>
        <m:r>
          <m:rPr>
            <m:sty m:val="p"/>
          </m:rPr>
          <m:t>=</m:t>
        </m:r>
        <m:r>
          <m:t>0.30</m:t>
        </m:r>
      </m:oMath>
      <w:r>
        <w:t xml:space="preserve"> </w:t>
      </w:r>
      <w:r>
        <w:t xml:space="preserve">kcal/mol) rather than being aliased to S; and the uranyl dication</w:t>
      </w:r>
      <w:r>
        <w:t xml:space="preserve"> </w:t>
      </w:r>
      <w:r>
        <w:rPr>
          <w:rStyle w:val="VerbatimChar"/>
        </w:rPr>
        <w:t xml:space="preserve">uo2</w:t>
      </w:r>
      <w:r>
        <w:t xml:space="preserve"> </w:t>
      </w:r>
      <w:r>
        <w:t xml:space="preserve">is modeled with linear-coordination parameters for environmental-toxicology docking.</w:t>
      </w:r>
    </w:p>
    <w:bookmarkEnd w:id="19"/>
    <w:bookmarkStart w:id="20" w:name="inline-ag4-affinity-map-generation"/>
    <w:p>
      <w:pPr>
        <w:pStyle w:val="Heading3"/>
      </w:pPr>
      <w:r>
        <w:t xml:space="preserve">2.3 Inline AG4 affinity-map generation</w:t>
      </w:r>
    </w:p>
    <w:p>
      <w:pPr>
        <w:pStyle w:val="FirstParagraph"/>
      </w:pPr>
      <w:r>
        <w:t xml:space="preserve">The standard AD4 workflow requires the external</w:t>
      </w:r>
      <w:r>
        <w:t xml:space="preserve"> </w:t>
      </w:r>
      <w:r>
        <w:rPr>
          <w:rStyle w:val="VerbatimChar"/>
        </w:rPr>
        <w:t xml:space="preserve">autogrid4</w:t>
      </w:r>
      <w:r>
        <w:t xml:space="preserve"> </w:t>
      </w:r>
      <w:r>
        <w:t xml:space="preserve">program to pre-compute one</w:t>
      </w:r>
      <w:r>
        <w:t xml:space="preserve"> </w:t>
      </w:r>
      <w:r>
        <w:rPr>
          <w:rStyle w:val="VerbatimChar"/>
        </w:rPr>
        <w:t xml:space="preserve">.map</w:t>
      </w:r>
      <w:r>
        <w:t xml:space="preserve"> </w:t>
      </w:r>
      <w:r>
        <w:t xml:space="preserve">file per atom type. LKina removes this dependency with</w:t>
      </w:r>
      <w:r>
        <w:t xml:space="preserve"> </w:t>
      </w:r>
      <w:r>
        <w:rPr>
          <w:rStyle w:val="VerbatimChar"/>
        </w:rPr>
        <w:t xml:space="preserve">ag4_compute_maps()</w:t>
      </w:r>
      <w:r>
        <w:t xml:space="preserve"> </w:t>
      </w:r>
      <w:r>
        <w:t xml:space="preserve">(</w:t>
      </w:r>
      <w:r>
        <w:rPr>
          <w:rStyle w:val="VerbatimChar"/>
        </w:rPr>
        <w:t xml:space="preserve">--generate_maps</w:t>
      </w:r>
      <w:r>
        <w:t xml:space="preserve">), a self-contained C++ reimplementation of the AutoGrid 4.2 pairwise interaction scoring function. The pipeline is:</w:t>
      </w:r>
    </w:p>
    <w:p>
      <w:pPr>
        <w:pStyle w:val="Compact"/>
        <w:numPr>
          <w:ilvl w:val="0"/>
          <w:numId w:val="1004"/>
        </w:numPr>
      </w:pPr>
      <w:r>
        <w:rPr>
          <w:b/>
          <w:bCs/>
        </w:rPr>
        <w:t xml:space="preserve">Receptor parsing</w:t>
      </w:r>
      <w:r>
        <w:t xml:space="preserve"> </w:t>
      </w:r>
      <w:r>
        <w:t xml:space="preserve">(</w:t>
      </w:r>
      <w:r>
        <w:rPr>
          <w:rStyle w:val="VerbatimChar"/>
        </w:rPr>
        <w:t xml:space="preserve">ag4_parse_receptor</w:t>
      </w:r>
      <w:r>
        <w:t xml:space="preserve">), coordinates plus AD4 type per atom;</w:t>
      </w:r>
    </w:p>
    <w:p>
      <w:pPr>
        <w:pStyle w:val="Compact"/>
        <w:numPr>
          <w:ilvl w:val="0"/>
          <w:numId w:val="1004"/>
        </w:numPr>
      </w:pPr>
      <w:r>
        <w:rPr>
          <w:b/>
          <w:bCs/>
        </w:rPr>
        <w:t xml:space="preserve">Pseudoatom injection</w:t>
      </w:r>
      <w:r>
        <w:t xml:space="preserve"> </w:t>
      </w:r>
      <w:r>
        <w:t xml:space="preserve">(</w:t>
      </w:r>
      <w:r>
        <w:rPr>
          <w:rStyle w:val="VerbatimChar"/>
        </w:rPr>
        <w:t xml:space="preserve">ag4_inject_[TZ|SQ|MH|JT]</w:t>
      </w:r>
      <w:r>
        <w:t xml:space="preserve">), vacant coordination directions are filled according to the active metal mode(s);</w:t>
      </w:r>
    </w:p>
    <w:p>
      <w:pPr>
        <w:pStyle w:val="Compact"/>
        <w:numPr>
          <w:ilvl w:val="0"/>
          <w:numId w:val="1004"/>
        </w:numPr>
      </w:pPr>
      <w:r>
        <w:rPr>
          <w:b/>
          <w:bCs/>
        </w:rPr>
        <w:t xml:space="preserve">Grid accumulation</w:t>
      </w:r>
      <w:r>
        <w:t xml:space="preserve">, for every grid point, pairwise AD4 potentials are summed over receptor atoms;</w:t>
      </w:r>
    </w:p>
    <w:p>
      <w:pPr>
        <w:pStyle w:val="Compact"/>
        <w:numPr>
          <w:ilvl w:val="0"/>
          <w:numId w:val="1004"/>
        </w:numPr>
      </w:pPr>
      <w:r>
        <w:rPr>
          <w:b/>
          <w:bCs/>
        </w:rPr>
        <w:t xml:space="preserve">Electrostatic grid</w:t>
      </w:r>
      <w:r>
        <w:t xml:space="preserve">, Mehler–Solmajer distance-dependent dielectric;</w:t>
      </w:r>
    </w:p>
    <w:p>
      <w:pPr>
        <w:pStyle w:val="Compact"/>
        <w:numPr>
          <w:ilvl w:val="0"/>
          <w:numId w:val="1004"/>
        </w:numPr>
      </w:pPr>
      <w:r>
        <w:rPr>
          <w:b/>
          <w:bCs/>
        </w:rPr>
        <w:t xml:space="preserve">Desolvation grid</w:t>
      </w:r>
      <w:r>
        <w:t xml:space="preserve">, atomic-volume solvation potential.</w:t>
      </w:r>
    </w:p>
    <w:p>
      <w:pPr>
        <w:pStyle w:val="FirstParagraph"/>
      </w:pPr>
      <w:r>
        <w:t xml:space="preserve">The default grid spacing is 0.375 Å (</w:t>
      </w:r>
      <w:r>
        <w:rPr>
          <w:rStyle w:val="VerbatimChar"/>
        </w:rPr>
        <w:t xml:space="preserve">--spacing</w:t>
      </w:r>
      <w:r>
        <w:t xml:space="preserve"> </w:t>
      </w:r>
      <w:r>
        <w:t xml:space="preserve">adjustable).</w:t>
      </w:r>
      <w:r>
        <w:t xml:space="preserve"> </w:t>
      </w:r>
      <w:r>
        <w:rPr>
          <w:rStyle w:val="VerbatimChar"/>
        </w:rPr>
        <w:t xml:space="preserve">--write_maps</w:t>
      </w:r>
      <w:r>
        <w:t xml:space="preserve"> </w:t>
      </w:r>
      <w:r>
        <w:t xml:space="preserve">exports the grids as standard</w:t>
      </w:r>
      <w:r>
        <w:t xml:space="preserve"> </w:t>
      </w:r>
      <w:r>
        <w:rPr>
          <w:rStyle w:val="VerbatimChar"/>
        </w:rPr>
        <w:t xml:space="preserve">.map</w:t>
      </w:r>
      <w:r>
        <w:t xml:space="preserve"> </w:t>
      </w:r>
      <w:r>
        <w:t xml:space="preserve">files for caching, and</w:t>
      </w:r>
      <w:r>
        <w:t xml:space="preserve"> </w:t>
      </w:r>
      <w:r>
        <w:rPr>
          <w:rStyle w:val="VerbatimChar"/>
        </w:rPr>
        <w:t xml:space="preserve">--maps</w:t>
      </w:r>
      <w:r>
        <w:t xml:space="preserve"> </w:t>
      </w:r>
      <w:r>
        <w:t xml:space="preserve">re-imports previously generated grids, skipping the 5–30 s per-receptor generation step. In multi-metal systems, injection is performed mode-by-mode over the</w:t>
      </w:r>
      <w:r>
        <w:t xml:space="preserve"> </w:t>
      </w:r>
      <w:r>
        <w:rPr>
          <w:rStyle w:val="VerbatimChar"/>
        </w:rPr>
        <w:t xml:space="preserve">active_modes</w:t>
      </w:r>
      <w:r>
        <w:t xml:space="preserve"> </w:t>
      </w:r>
      <w:r>
        <w:t xml:space="preserve">list so that every metal site receives the correct pseudoatom coverage. Because an external</w:t>
      </w:r>
      <w:r>
        <w:t xml:space="preserve"> </w:t>
      </w:r>
      <w:r>
        <w:rPr>
          <w:rStyle w:val="VerbatimChar"/>
        </w:rPr>
        <w:t xml:space="preserve">autogrid4</w:t>
      </w:r>
      <w:r>
        <w:t xml:space="preserve"> </w:t>
      </w:r>
      <w:r>
        <w:t xml:space="preserve">binary cannot reproduce LKina’s pseudoatom injection, Zn-compatibility state, or</w:t>
      </w:r>
      <w:r>
        <w:t xml:space="preserve"> </w:t>
      </w:r>
      <w:r>
        <w:rPr>
          <w:rStyle w:val="VerbatimChar"/>
        </w:rPr>
        <w:t xml:space="preserve">nbp_r_eps</w:t>
      </w:r>
      <w:r>
        <w:t xml:space="preserve"> </w:t>
      </w:r>
      <w:r>
        <w:t xml:space="preserve">overrides, the external-</w:t>
      </w:r>
      <w:r>
        <w:rPr>
          <w:rStyle w:val="VerbatimChar"/>
        </w:rPr>
        <w:t xml:space="preserve">autogrid4</w:t>
      </w:r>
      <w:r>
        <w:t xml:space="preserve"> </w:t>
      </w:r>
      <w:r>
        <w:t xml:space="preserve">fallback is</w:t>
      </w:r>
      <w:r>
        <w:t xml:space="preserve"> </w:t>
      </w:r>
      <w:r>
        <w:rPr>
          <w:b/>
          <w:bCs/>
        </w:rPr>
        <w:t xml:space="preserve">disabled</w:t>
      </w:r>
      <w:r>
        <w:t xml:space="preserve"> </w:t>
      </w:r>
      <w:r>
        <w:t xml:space="preserve">whenever</w:t>
      </w:r>
      <w:r>
        <w:t xml:space="preserve"> </w:t>
      </w:r>
      <w:r>
        <w:rPr>
          <w:rStyle w:val="VerbatimChar"/>
        </w:rPr>
        <w:t xml:space="preserve">zn_mode</w:t>
      </w:r>
      <w:r>
        <w:t xml:space="preserve">,</w:t>
      </w:r>
      <w:r>
        <w:t xml:space="preserve"> </w:t>
      </w:r>
      <w:r>
        <w:rPr>
          <w:rStyle w:val="VerbatimChar"/>
        </w:rPr>
        <w:t xml:space="preserve">metal_mode</w:t>
      </w:r>
      <w:r>
        <w:t xml:space="preserve">, multi-metal modes, or custom NBP overrides are active, guaranteeing that the grids used in the search are always consistent with the search state.</w:t>
      </w:r>
    </w:p>
    <w:bookmarkEnd w:id="20"/>
    <w:bookmarkStart w:id="21" w:name="coordination-pseudoatoms-tz-sq-mh-jt"/>
    <w:p>
      <w:pPr>
        <w:pStyle w:val="Heading3"/>
      </w:pPr>
      <w:r>
        <w:t xml:space="preserve">2.4 Coordination pseudoatoms (TZ / SQ / MH / JT)</w:t>
      </w:r>
    </w:p>
    <w:p>
      <w:pPr>
        <w:pStyle w:val="FirstParagraph"/>
      </w:pPr>
      <w:r>
        <w:t xml:space="preserve">The pseudoatom concept, introduced by AutoDock4Zn </w:t>
      </w:r>
      <w:r>
        <w:rPr>
          <w:vertAlign w:val="superscript"/>
          <w:sz w:val="18"/>
        </w:rPr>
        <w:t>[6]</w:t>
      </w:r>
      <w:r>
        <w:t xml:space="preserve">, is generalized in LKina to four geometric systems. A pseudoatom is a virtual atom placed at a</w:t>
      </w:r>
      <w:r>
        <w:t xml:space="preserve"> </w:t>
      </w:r>
      <w:r>
        <w:rPr>
          <w:i/>
          <w:iCs/>
        </w:rPr>
        <w:t xml:space="preserve">vacant</w:t>
      </w:r>
      <w:r>
        <w:t xml:space="preserve"> </w:t>
      </w:r>
      <w:r>
        <w:t xml:space="preserve">coordination direction of the receptor metal; its interaction with ligand probe atoms encodes the coordination geometry directly into the affinity grids:</w:t>
      </w:r>
    </w:p>
    <w:p>
      <w:pPr>
        <w:pStyle w:val="BodyText"/>
      </w:pPr>
      <m:oMathPara>
        <m:oMathParaPr>
          <m:jc m:val="center"/>
        </m:oMathParaPr>
        <m:oMath>
          <m:sSub>
            <m:e>
              <m:r>
                <m:t>V</m:t>
              </m:r>
            </m:e>
            <m:sub>
              <m:r>
                <m:rPr>
                  <m:nor/>
                  <m:sty m:val="p"/>
                </m:rPr>
                <m:t>pseudo</m:t>
              </m:r>
            </m:sub>
          </m:sSub>
          <m:r>
            <m:rPr>
              <m:sty m:val="p"/>
            </m:rPr>
            <m:t>(</m:t>
          </m:r>
          <m:r>
            <m:t>r</m:t>
          </m:r>
          <m:r>
            <m:rPr>
              <m:sty m:val="p"/>
            </m:rPr>
            <m:t>)</m:t>
          </m:r>
          <m:r>
            <m:rPr>
              <m:sty m:val="p"/>
            </m:rPr>
            <m:t>=</m:t>
          </m:r>
          <m:r>
            <m:t>ε</m:t>
          </m:r>
          <m:d>
            <m:dPr>
              <m:begChr m:val="["/>
              <m:sepChr m:val=""/>
              <m:endChr m:val="]"/>
              <m:grow/>
            </m:dPr>
            <m:e>
              <m:sSup>
                <m:e>
                  <m:d>
                    <m:dPr>
                      <m:begChr m:val="("/>
                      <m:sepChr m:val=""/>
                      <m:endChr m:val=")"/>
                      <m:grow/>
                    </m:dPr>
                    <m:e>
                      <m:f>
                        <m:fPr>
                          <m:type m:val="bar"/>
                        </m:fPr>
                        <m:num>
                          <m:sSub>
                            <m:e>
                              <m:r>
                                <m:t>r</m:t>
                              </m:r>
                            </m:e>
                            <m:sub>
                              <m:r>
                                <m:rPr>
                                  <m:nor/>
                                  <m:sty m:val="p"/>
                                </m:rPr>
                                <m:t>eq</m:t>
                              </m:r>
                            </m:sub>
                          </m:sSub>
                        </m:num>
                        <m:den>
                          <m:r>
                            <m:t>r</m:t>
                          </m:r>
                        </m:den>
                      </m:f>
                    </m:e>
                  </m:d>
                </m:e>
                <m:sup>
                  <m:r>
                    <m:t>12</m:t>
                  </m:r>
                </m:sup>
              </m:sSup>
              <m:r>
                <m:rPr>
                  <m:sty m:val="p"/>
                </m:rPr>
                <m:t>−</m:t>
              </m:r>
              <m:r>
                <m:t>2</m:t>
              </m:r>
              <m:sSup>
                <m:e>
                  <m:d>
                    <m:dPr>
                      <m:begChr m:val="("/>
                      <m:sepChr m:val=""/>
                      <m:endChr m:val=")"/>
                      <m:grow/>
                    </m:dPr>
                    <m:e>
                      <m:f>
                        <m:fPr>
                          <m:type m:val="bar"/>
                        </m:fPr>
                        <m:num>
                          <m:sSub>
                            <m:e>
                              <m:r>
                                <m:t>r</m:t>
                              </m:r>
                            </m:e>
                            <m:sub>
                              <m:r>
                                <m:rPr>
                                  <m:nor/>
                                  <m:sty m:val="p"/>
                                </m:rPr>
                                <m:t>eq</m:t>
                              </m:r>
                            </m:sub>
                          </m:sSub>
                        </m:num>
                        <m:den>
                          <m:r>
                            <m:t>r</m:t>
                          </m:r>
                        </m:den>
                      </m:f>
                    </m:e>
                  </m:d>
                </m:e>
                <m:sup>
                  <m:r>
                    <m:t>6</m:t>
                  </m:r>
                </m:sup>
              </m:sSup>
            </m:e>
          </m:d>
        </m:oMath>
      </m:oMathPara>
    </w:p>
    <w:p>
      <w:pPr>
        <w:pStyle w:val="FirstParagraph"/>
      </w:pPr>
      <w:r>
        <w:rPr>
          <w:b/>
          <w:bCs/>
        </w:rPr>
        <w:t xml:space="preserve">Table 2.</w:t>
      </w:r>
      <w:r>
        <w:t xml:space="preserve"> </w:t>
      </w:r>
      <w:r>
        <w:t xml:space="preserve">Geometry and coordination-interaction parameters (nbp overrides) of the four coordination pseudoatoms.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Pseudoatom</w:t>
            </w:r>
          </w:p>
        </w:tc>
        <w:tc>
          <w:tcPr/>
          <w:p>
            <w:pPr>
              <w:pStyle w:val="Compact"/>
            </w:pPr>
            <w:r>
              <w:t xml:space="preserve">Geometry</w:t>
            </w:r>
          </w:p>
        </w:tc>
        <w:tc>
          <w:tcPr/>
          <w:p>
            <w:pPr>
              <w:pStyle w:val="Compact"/>
            </w:pPr>
            <w:r>
              <w:t xml:space="preserve">Directions</w:t>
            </w:r>
          </w:p>
        </w:tc>
        <w:tc>
          <w:tcPr/>
          <w:p>
            <w:pPr>
              <w:pStyle w:val="Compact"/>
            </w:pPr>
            <w:r>
              <w:t xml:space="preserve">Representative metals</w:t>
            </w:r>
          </w:p>
        </w:tc>
        <w:tc>
          <w:tcPr/>
          <w:p>
            <w:pPr>
              <w:pStyle w:val="Compact"/>
            </w:pPr>
            <w:r>
              <w:t xml:space="preserve">nbp</w:t>
            </w:r>
            <w:r>
              <w:t xml:space="preserve"> </w:t>
            </w:r>
            <m:oMath>
              <m:sSub>
                <m:e>
                  <m:r>
                    <m:t>r</m:t>
                  </m:r>
                </m:e>
                <m:sub>
                  <m:r>
                    <m:rPr>
                      <m:nor/>
                      <m:sty m:val="p"/>
                    </m:rPr>
                    <m:t>eq</m:t>
                  </m:r>
                </m:sub>
              </m:sSub>
            </m:oMath>
            <w:r>
              <w:t xml:space="preserve"> </w:t>
            </w:r>
            <w:r>
              <w:t xml:space="preserve">(Å)</w:t>
            </w:r>
          </w:p>
        </w:tc>
        <w:tc>
          <w:tcPr/>
          <w:p>
            <w:pPr>
              <w:pStyle w:val="Compact"/>
            </w:pPr>
            <w:r>
              <w:t xml:space="preserve">nbp</w:t>
            </w:r>
            <w:r>
              <w:t xml:space="preserve"> </w:t>
            </w:r>
            <m:oMath>
              <m:r>
                <m:t>ε</m:t>
              </m:r>
            </m:oMath>
            <w:r>
              <w:t xml:space="preserve"> </w:t>
            </w:r>
            <w:r>
              <w:t xml:space="preserve">range (kcal/mol)</w:t>
            </w:r>
          </w:p>
        </w:tc>
      </w:tr>
      <w:tr>
        <w:tc>
          <w:tcPr/>
          <w:p>
            <w:pPr>
              <w:pStyle w:val="Compact"/>
            </w:pPr>
            <w:r>
              <w:rPr>
                <w:b/>
                <w:bCs/>
              </w:rPr>
              <w:t xml:space="preserve">TZ</w:t>
            </w:r>
          </w:p>
        </w:tc>
        <w:tc>
          <w:tcPr/>
          <w:p>
            <w:pPr>
              <w:pStyle w:val="Compact"/>
            </w:pPr>
            <w:r>
              <w:t xml:space="preserve">tetrahedral</w:t>
            </w:r>
          </w:p>
        </w:tc>
        <w:tc>
          <w:tcPr/>
          <w:p>
            <w:pPr>
              <w:pStyle w:val="Compact"/>
            </w:pPr>
            <w:r>
              <w:t xml:space="preserve">4</w:t>
            </w:r>
          </w:p>
        </w:tc>
        <w:tc>
          <w:tcPr/>
          <w:p>
            <w:pPr>
              <w:pStyle w:val="Compact"/>
            </w:pPr>
            <w:r>
              <w:t xml:space="preserve">Zn²⁺, Cd²⁺ (4-coordinate d¹⁰)</w:t>
            </w:r>
          </w:p>
        </w:tc>
        <w:tc>
          <w:tcPr/>
          <w:p>
            <w:pPr>
              <w:pStyle w:val="Compact"/>
            </w:pPr>
            <w:r>
              <w:t xml:space="preserve">0.25</w:t>
            </w:r>
          </w:p>
        </w:tc>
        <w:tc>
          <w:tcPr/>
          <w:p>
            <w:pPr>
              <w:pStyle w:val="Compact"/>
            </w:pPr>
            <w:r>
              <w:t xml:space="preserve">3.0–23.2</w:t>
            </w:r>
          </w:p>
        </w:tc>
      </w:tr>
      <w:tr>
        <w:tc>
          <w:tcPr/>
          <w:p>
            <w:pPr>
              <w:pStyle w:val="Compact"/>
            </w:pPr>
            <w:r>
              <w:rPr>
                <w:b/>
                <w:bCs/>
              </w:rPr>
              <w:t xml:space="preserve">SQ</w:t>
            </w:r>
          </w:p>
        </w:tc>
        <w:tc>
          <w:tcPr/>
          <w:p>
            <w:pPr>
              <w:pStyle w:val="Compact"/>
            </w:pPr>
            <w:r>
              <w:t xml:space="preserve">square-planar / linear</w:t>
            </w:r>
          </w:p>
        </w:tc>
        <w:tc>
          <w:tcPr/>
          <w:p>
            <w:pPr>
              <w:pStyle w:val="Compact"/>
            </w:pPr>
            <w:r>
              <w:t xml:space="preserve">4 / 2</w:t>
            </w:r>
          </w:p>
        </w:tc>
        <w:tc>
          <w:tcPr/>
          <w:p>
            <w:pPr>
              <w:pStyle w:val="Compact"/>
            </w:pPr>
            <w:r>
              <w:t xml:space="preserve">Cu²⁺, Pt²⁺, Pd²⁺, Ni²⁺; Hg²⁺, Ag⁺ (linear)</w:t>
            </w:r>
          </w:p>
        </w:tc>
        <w:tc>
          <w:tcPr/>
          <w:p>
            <w:pPr>
              <w:pStyle w:val="Compact"/>
            </w:pPr>
            <w:r>
              <w:t xml:space="preserve">0.25</w:t>
            </w:r>
          </w:p>
        </w:tc>
        <w:tc>
          <w:tcPr/>
          <w:p>
            <w:pPr>
              <w:pStyle w:val="Compact"/>
            </w:pPr>
            <w:r>
              <w:t xml:space="preserve">3.0–24.0</w:t>
            </w:r>
          </w:p>
        </w:tc>
      </w:tr>
      <w:tr>
        <w:tc>
          <w:tcPr/>
          <w:p>
            <w:pPr>
              <w:pStyle w:val="Compact"/>
            </w:pPr>
            <w:r>
              <w:rPr>
                <w:b/>
                <w:bCs/>
              </w:rPr>
              <w:t xml:space="preserve">MH</w:t>
            </w:r>
          </w:p>
        </w:tc>
        <w:tc>
          <w:tcPr/>
          <w:p>
            <w:pPr>
              <w:pStyle w:val="Compact"/>
            </w:pPr>
            <w:r>
              <w:t xml:space="preserve">octahedral</w:t>
            </w:r>
          </w:p>
        </w:tc>
        <w:tc>
          <w:tcPr/>
          <w:p>
            <w:pPr>
              <w:pStyle w:val="Compact"/>
            </w:pPr>
            <w:r>
              <w:t xml:space="preserve">6</w:t>
            </w:r>
          </w:p>
        </w:tc>
        <w:tc>
          <w:tcPr/>
          <w:p>
            <w:pPr>
              <w:pStyle w:val="Compact"/>
            </w:pPr>
            <w:r>
              <w:t xml:space="preserve">Fe³⁺, Mn²⁺, Co²⁺, Mg²⁺, …</w:t>
            </w:r>
          </w:p>
        </w:tc>
        <w:tc>
          <w:tcPr/>
          <w:p>
            <w:pPr>
              <w:pStyle w:val="Compact"/>
            </w:pPr>
            <w:r>
              <w:t xml:space="preserve">0.25</w:t>
            </w:r>
          </w:p>
        </w:tc>
        <w:tc>
          <w:tcPr/>
          <w:p>
            <w:pPr>
              <w:pStyle w:val="Compact"/>
            </w:pPr>
            <w:r>
              <w:t xml:space="preserve">0.2–14.0</w:t>
            </w:r>
          </w:p>
        </w:tc>
      </w:tr>
      <w:tr>
        <w:tc>
          <w:tcPr/>
          <w:p>
            <w:pPr>
              <w:pStyle w:val="Compact"/>
            </w:pPr>
            <w:r>
              <w:rPr>
                <w:b/>
                <w:bCs/>
              </w:rPr>
              <w:t xml:space="preserve">JT</w:t>
            </w:r>
            <w:r>
              <w:t xml:space="preserve"> </w:t>
            </w:r>
            <w:r>
              <w:t xml:space="preserve">(equatorial)</w:t>
            </w:r>
          </w:p>
        </w:tc>
        <w:tc>
          <w:tcPr/>
          <w:p>
            <w:pPr>
              <w:pStyle w:val="Compact"/>
            </w:pPr>
            <w:r>
              <w:t xml:space="preserve">elongated octahedron</w:t>
            </w:r>
          </w:p>
        </w:tc>
        <w:tc>
          <w:tcPr/>
          <w:p>
            <w:pPr>
              <w:pStyle w:val="Compact"/>
            </w:pPr>
            <w:r>
              <w:t xml:space="preserve">4</w:t>
            </w:r>
          </w:p>
        </w:tc>
        <w:tc>
          <w:tcPr/>
          <w:p>
            <w:pPr>
              <w:pStyle w:val="Compact"/>
            </w:pPr>
            <w:r>
              <w:t xml:space="preserve">Cu²⁺ (d⁹), Mn³⁺ (d⁴)</w:t>
            </w:r>
          </w:p>
        </w:tc>
        <w:tc>
          <w:tcPr/>
          <w:p>
            <w:pPr>
              <w:pStyle w:val="Compact"/>
            </w:pPr>
            <w:r>
              <w:t xml:space="preserve">0.25</w:t>
            </w:r>
          </w:p>
        </w:tc>
        <w:tc>
          <w:tcPr/>
          <w:p>
            <w:pPr>
              <w:pStyle w:val="Compact"/>
            </w:pPr>
            <w:r>
              <w:t xml:space="preserve">2.5–15.0</w:t>
            </w:r>
          </w:p>
        </w:tc>
      </w:tr>
      <w:tr>
        <w:tc>
          <w:tcPr/>
          <w:p>
            <w:pPr>
              <w:pStyle w:val="Compact"/>
            </w:pPr>
            <w:r>
              <w:rPr>
                <w:b/>
                <w:bCs/>
              </w:rPr>
              <w:t xml:space="preserve">JT</w:t>
            </w:r>
            <w:r>
              <w:t xml:space="preserve"> </w:t>
            </w:r>
            <w:r>
              <w:t xml:space="preserve">(axial)</w:t>
            </w:r>
          </w:p>
        </w:tc>
        <w:tc>
          <w:tcPr/>
          <w:p>
            <w:pPr>
              <w:pStyle w:val="Compact"/>
            </w:pPr>
            <w:r>
              <w:t xml:space="preserve">elongated octahedron</w:t>
            </w:r>
          </w:p>
        </w:tc>
        <w:tc>
          <w:tcPr/>
          <w:p>
            <w:pPr>
              <w:pStyle w:val="Compact"/>
            </w:pPr>
            <w:r>
              <w:t xml:space="preserve">2</w:t>
            </w:r>
          </w:p>
        </w:tc>
        <w:tc>
          <w:tcPr/>
          <w:p>
            <w:pPr>
              <w:pStyle w:val="Compact"/>
            </w:pPr>
            <w:r>
              <w:t xml:space="preserve">Cu²⁺ (d⁹), Mn³⁺ (d⁴)</w:t>
            </w:r>
          </w:p>
        </w:tc>
        <w:tc>
          <w:tcPr/>
          <w:p>
            <w:pPr>
              <w:pStyle w:val="Compact"/>
            </w:pPr>
            <w:r>
              <w:t xml:space="preserve">0.25</w:t>
            </w:r>
          </w:p>
        </w:tc>
        <w:tc>
          <w:tcPr/>
          <w:p>
            <w:pPr>
              <w:pStyle w:val="Compact"/>
            </w:pPr>
            <w:r>
              <w:t xml:space="preserve">0.2–5.0</w:t>
            </w:r>
          </w:p>
        </w:tc>
      </w:tr>
    </w:tbl>
    <w:p>
      <w:pPr>
        <w:pStyle w:val="BodyText"/>
      </w:pPr>
      <w:r>
        <w:t xml:space="preserve">The pseudoatoms themselves carry no vdW interaction (official AD4Zn neutral parameters</w:t>
      </w:r>
      <w:r>
        <w:t xml:space="preserve"> </w:t>
      </w:r>
      <m:oMath>
        <m:sSub>
          <m:e>
            <m:r>
              <m:t>R</m:t>
            </m:r>
          </m:e>
          <m:sub>
            <m:r>
              <m:t>i</m:t>
            </m:r>
            <m:r>
              <m:t>i</m:t>
            </m:r>
          </m:sub>
        </m:sSub>
        <m:r>
          <m:rPr>
            <m:sty m:val="p"/>
          </m:rPr>
          <m:t>=</m:t>
        </m:r>
        <m:r>
          <m:t>1.0</m:t>
        </m:r>
      </m:oMath>
      <w:r>
        <w:t xml:space="preserve"> </w:t>
      </w:r>
      <w:r>
        <w:t xml:space="preserve">Å,</w:t>
      </w:r>
      <w:r>
        <w:t xml:space="preserve"> </w:t>
      </w:r>
      <m:oMath>
        <m:sSub>
          <m:e>
            <m:r>
              <m:t>ε</m:t>
            </m:r>
          </m:e>
          <m:sub>
            <m:r>
              <m:t>i</m:t>
            </m:r>
            <m:r>
              <m:t>i</m:t>
            </m:r>
          </m:sub>
        </m:sSub>
        <m:r>
          <m:rPr>
            <m:sty m:val="p"/>
          </m:rPr>
          <m:t>=</m:t>
        </m:r>
        <m:r>
          <m:t>0.0</m:t>
        </m:r>
      </m:oMath>
      <w:r>
        <w:t xml:space="preserve">; see Section 3.2.1); all coordination interactions are encoded into the grids through explicit</w:t>
      </w:r>
      <w:r>
        <w:t xml:space="preserve"> </w:t>
      </w:r>
      <w:r>
        <w:rPr>
          <w:rStyle w:val="VerbatimChar"/>
        </w:rPr>
        <w:t xml:space="preserve">nbp_r_eps</w:t>
      </w:r>
      <w:r>
        <w:t xml:space="preserve"> </w:t>
      </w:r>
      <w:r>
        <w:t xml:space="preserve">overrides whose</w:t>
      </w:r>
      <w:r>
        <w:t xml:space="preserve"> </w:t>
      </w:r>
      <m:oMath>
        <m:sSub>
          <m:e>
            <m:r>
              <m:t>r</m:t>
            </m:r>
          </m:e>
          <m:sub>
            <m:r>
              <m:rPr>
                <m:nor/>
                <m:sty m:val="p"/>
              </m:rPr>
              <m:t>eq</m:t>
            </m:r>
          </m:sub>
        </m:sSub>
        <m:r>
          <m:rPr>
            <m:sty m:val="p"/>
          </m:rPr>
          <m:t>=</m:t>
        </m:r>
        <m:r>
          <m:t>0.25</m:t>
        </m:r>
      </m:oMath>
      <w:r>
        <w:t xml:space="preserve"> </w:t>
      </w:r>
      <w:r>
        <w:t xml:space="preserve">Å places the ligand donor probe directly on the pseudoatom site, with</w:t>
      </w:r>
      <w:r>
        <w:t xml:space="preserve"> </w:t>
      </w:r>
      <m:oMath>
        <m:r>
          <m:t>ε</m:t>
        </m:r>
      </m:oMath>
      <w:r>
        <w:t xml:space="preserve"> </w:t>
      </w:r>
      <w:r>
        <w:t xml:space="preserve">chosen by metal–donor HSAB matching over 0.2–24 kcal/mol (unweighted tabulated values; actual well depths after the AD4</w:t>
      </w:r>
      <w:r>
        <w:t xml:space="preserve"> </w:t>
      </w:r>
      <w:r>
        <w:rPr>
          <w:rStyle w:val="VerbatimChar"/>
        </w:rPr>
        <w:t xml:space="preserve">coeff_vdW</w:t>
      </w:r>
      <w:r>
        <w:t xml:space="preserve"> </w:t>
      </w:r>
      <w:r>
        <w:t xml:space="preserve">weighting are given in Section 3.2.1, e.g. the Zn–NA/TZ tabulated 23.2135 → weighted −3.86 kcal/mol). The JT axial pseudoatoms share the</w:t>
      </w:r>
      <w:r>
        <w:t xml:space="preserve"> </w:t>
      </w:r>
      <m:oMath>
        <m:sSub>
          <m:e>
            <m:r>
              <m:t>r</m:t>
            </m:r>
          </m:e>
          <m:sub>
            <m:r>
              <m:rPr>
                <m:nor/>
                <m:sty m:val="p"/>
              </m:rPr>
              <m:t>eq</m:t>
            </m:r>
          </m:sub>
        </m:sSub>
        <m:r>
          <m:rPr>
            <m:sty m:val="p"/>
          </m:rPr>
          <m:t>=</m:t>
        </m:r>
        <m:r>
          <m:t>0.25</m:t>
        </m:r>
      </m:oMath>
      <w:r>
        <w:t xml:space="preserve"> </w:t>
      </w:r>
      <w:r>
        <w:t xml:space="preserve">Å overrides but are injected at a longer distance (2.45 Å for cu2_jt, 2.28 Å for mn3_jt, vs 2.03/1.92 Å equatorial) with weaker</w:t>
      </w:r>
      <w:r>
        <w:t xml:space="preserve"> </w:t>
      </w:r>
      <m:oMath>
        <m:r>
          <m:t>ε</m:t>
        </m:r>
      </m:oMath>
      <w:r>
        <w:t xml:space="preserve"> </w:t>
      </w:r>
      <w:r>
        <w:t xml:space="preserve">(0.2–5.0 vs 2.5–15.0 kcal/mol), mirroring the elongated (~2.4 Å) and weakened axial bonds of Jahn–Teller-active ions. Vacant directions are chosen by</w:t>
      </w:r>
      <w:r>
        <w:t xml:space="preserve"> </w:t>
      </w:r>
      <w:r>
        <w:rPr>
          <w:rStyle w:val="VerbatimChar"/>
        </w:rPr>
        <w:t xml:space="preserve">ag4_select_vacant_dirs()</w:t>
      </w:r>
      <w:r>
        <w:t xml:space="preserve">, a maximum-angular-separation strategy over the direction-complement space of the existing ligand donors, ensuring that injected positions correspond to genuinely open coordination sites.</w:t>
      </w:r>
    </w:p>
    <w:p>
      <w:pPr>
        <w:pStyle w:val="BodyText"/>
      </w:pPr>
      <w:r>
        <w:rPr>
          <w:b/>
          <w:bCs/>
        </w:rPr>
        <w:t xml:space="preserve">Composition with the base scoring functions.</w:t>
      </w:r>
      <w:r>
        <w:t xml:space="preserve"> </w:t>
      </w:r>
      <w:r>
        <w:t xml:space="preserve">The metal terms enter the AD4 score by</w:t>
      </w:r>
      <w:r>
        <w:t xml:space="preserve"> </w:t>
      </w:r>
      <w:r>
        <w:rPr>
          <w:i/>
          <w:iCs/>
        </w:rPr>
        <w:t xml:space="preserve">pairwise parameter substitution</w:t>
      </w:r>
      <w:r>
        <w:t xml:space="preserve">, not as an additive layer: for each metal–donor probe pair, the standard vdW/solvation table entry is replaced by the</w:t>
      </w:r>
      <w:r>
        <w:t xml:space="preserve"> </w:t>
      </w:r>
      <w:r>
        <w:rPr>
          <w:rStyle w:val="VerbatimChar"/>
        </w:rPr>
        <w:t xml:space="preserve">nbp_r_eps</w:t>
      </w:r>
      <w:r>
        <w:t xml:space="preserve"> </w:t>
      </w:r>
      <w:r>
        <w:t xml:space="preserve">override when the affinity maps are built, so no interaction is counted twice and the electrostatic and hydrogen-bond terms are untouched. Under</w:t>
      </w:r>
      <w:r>
        <w:t xml:space="preserve"> </w:t>
      </w:r>
      <w:r>
        <w:rPr>
          <w:rStyle w:val="VerbatimChar"/>
        </w:rPr>
        <w:t xml:space="preserve">--scoring vina</w:t>
      </w:r>
      <w:r>
        <w:t xml:space="preserve"> </w:t>
      </w:r>
      <w:r>
        <w:t xml:space="preserve">or</w:t>
      </w:r>
      <w:r>
        <w:t xml:space="preserve"> </w:t>
      </w:r>
      <w:r>
        <w:rPr>
          <w:rStyle w:val="VerbatimChar"/>
        </w:rPr>
        <w:t xml:space="preserve">vinardo</w:t>
      </w:r>
      <w:r>
        <w:t xml:space="preserve">, no metal terms exist at all (Section 3.7 quantifies the consequence: a 12.5 Å coordination miss on 4JC). The post-processing rerank terms of Section 2.7 add a separate correction to the final ranking only. Protonation states, tautomer choices, and crystallographic water retention are inherited from the input PDBQT preparation and remain the user’s responsibility; the benchmark in Section 3.6 states its preparation protocol explicitly.</w:t>
      </w:r>
    </w:p>
    <w:bookmarkEnd w:id="21"/>
    <w:bookmarkStart w:id="22" w:name="Xcdb57bade43e78e1f1141e501e362a152299846"/>
    <w:p>
      <w:pPr>
        <w:pStyle w:val="Heading3"/>
      </w:pPr>
      <w:r>
        <w:t xml:space="preserve">2.5 Automatic metal-mode detection and BVS oxidation-state inference</w:t>
      </w:r>
    </w:p>
    <w:p>
      <w:pPr>
        <w:pStyle w:val="FirstParagraph"/>
      </w:pPr>
      <w:r>
        <w:t xml:space="preserve">When</w:t>
      </w:r>
      <w:r>
        <w:t xml:space="preserve"> </w:t>
      </w:r>
      <w:r>
        <w:rPr>
          <w:rStyle w:val="VerbatimChar"/>
        </w:rPr>
        <w:t xml:space="preserve">--metal_mode</w:t>
      </w:r>
      <w:r>
        <w:t xml:space="preserve"> </w:t>
      </w:r>
      <w:r>
        <w:t xml:space="preserve">is not specified,</w:t>
      </w:r>
      <w:r>
        <w:t xml:space="preserve"> </w:t>
      </w:r>
      <w:r>
        <w:rPr>
          <w:rStyle w:val="VerbatimChar"/>
        </w:rPr>
        <w:t xml:space="preserve">detect_metal_mode_from_pdbqt()</w:t>
      </w:r>
      <w:r>
        <w:t xml:space="preserve"> </w:t>
      </w:r>
      <w:r>
        <w:t xml:space="preserve">proceeds as follows:</w:t>
      </w:r>
    </w:p>
    <w:p>
      <w:pPr>
        <w:pStyle w:val="Compact"/>
        <w:numPr>
          <w:ilvl w:val="0"/>
          <w:numId w:val="1005"/>
        </w:numPr>
      </w:pPr>
      <w:r>
        <w:rPr>
          <w:b/>
          <w:bCs/>
        </w:rPr>
        <w:t xml:space="preserve">Scan the receptor PDBQT</w:t>
      </w:r>
      <w:r>
        <w:t xml:space="preserve"> </w:t>
      </w:r>
      <w:r>
        <w:t xml:space="preserve">for metal symbols in the AD4 type column of ATOM/HETATM records;</w:t>
      </w:r>
    </w:p>
    <w:p>
      <w:pPr>
        <w:pStyle w:val="Compact"/>
        <w:numPr>
          <w:ilvl w:val="0"/>
          <w:numId w:val="1005"/>
        </w:numPr>
      </w:pPr>
      <w:r>
        <w:rPr>
          <w:b/>
          <w:bCs/>
        </w:rPr>
        <w:t xml:space="preserve">BVS oxidation-state inference</w:t>
      </w:r>
      <w:r>
        <w:t xml:space="preserve"> </w:t>
      </w:r>
      <w:r>
        <w:t xml:space="preserve">for Fe/Cu/Mn/Co/V/Mo/Ni (below);</w:t>
      </w:r>
    </w:p>
    <w:p>
      <w:pPr>
        <w:pStyle w:val="Compact"/>
        <w:numPr>
          <w:ilvl w:val="0"/>
          <w:numId w:val="1005"/>
        </w:numPr>
      </w:pPr>
      <w:r>
        <w:rPr>
          <w:b/>
          <w:bCs/>
        </w:rPr>
        <w:t xml:space="preserve">Donor-count fallback</w:t>
      </w:r>
      <w:r>
        <w:t xml:space="preserve">, if the BVS confidence is insufficient, count OA/NA/SA donors within 3.0 Å and infer the oxidation state heuristically;</w:t>
      </w:r>
    </w:p>
    <w:p>
      <w:pPr>
        <w:pStyle w:val="Compact"/>
        <w:numPr>
          <w:ilvl w:val="0"/>
          <w:numId w:val="1005"/>
        </w:numPr>
      </w:pPr>
      <w:r>
        <w:rPr>
          <w:b/>
          <w:bCs/>
        </w:rPr>
        <w:t xml:space="preserve">Ligand supplement scan</w:t>
      </w:r>
      <w:r>
        <w:t xml:space="preserve">, if no metal is found in the receptor and no mode is specified, the ligand is scanned (per-ligand in batch mode, with map regeneration before each dock);</w:t>
      </w:r>
    </w:p>
    <w:p>
      <w:pPr>
        <w:pStyle w:val="Compact"/>
        <w:numPr>
          <w:ilvl w:val="0"/>
          <w:numId w:val="1005"/>
        </w:numPr>
      </w:pPr>
      <w:r>
        <w:rPr>
          <w:b/>
          <w:bCs/>
        </w:rPr>
        <w:t xml:space="preserve">Mode dispatch</w:t>
      </w:r>
      <w:r>
        <w:t xml:space="preserve">, single-metal ligands enable the corresponding mode (multi-metal ligands enable a comma-separated combination, e.g.,</w:t>
      </w:r>
      <w:r>
        <w:t xml:space="preserve"> </w:t>
      </w:r>
      <w:r>
        <w:rPr>
          <w:rStyle w:val="VerbatimChar"/>
        </w:rPr>
        <w:t xml:space="preserve">pt,ru</w:t>
      </w:r>
      <w:r>
        <w:t xml:space="preserve">); Zn additionally enables the Zn coordination-potential path.</w:t>
      </w:r>
    </w:p>
    <w:p>
      <w:pPr>
        <w:pStyle w:val="FirstParagraph"/>
      </w:pPr>
      <w:r>
        <w:t xml:space="preserve">The Bond Valence Sum (BVS) </w:t>
      </w:r>
      <w:r>
        <w:rPr>
          <w:vertAlign w:val="superscript"/>
          <w:sz w:val="18"/>
        </w:rPr>
        <w:t>[14,15]</w:t>
      </w:r>
      <w:r>
        <w:t xml:space="preserve"> of a metal center is</w:t>
      </w:r>
    </w:p>
    <w:p>
      <w:pPr>
        <w:pStyle w:val="BodyText"/>
      </w:pPr>
      <m:oMathPara>
        <m:oMathParaPr>
          <m:jc m:val="center"/>
        </m:oMathParaPr>
        <m:oMath>
          <m:r>
            <m:rPr>
              <m:nor/>
              <m:sty m:val="p"/>
            </m:rPr>
            <m:t>BVS</m:t>
          </m:r>
          <m:r>
            <m:rPr>
              <m:sty m:val="p"/>
            </m:rPr>
            <m:t>=</m:t>
          </m:r>
          <m:nary>
            <m:naryPr>
              <m:chr m:val="∑"/>
              <m:limLoc m:val="undOvr"/>
              <m:subHide m:val="off"/>
              <m:supHide m:val="on"/>
            </m:naryPr>
            <m:sub>
              <m:r>
                <m:t>i</m:t>
              </m:r>
            </m:sub>
            <m:sup>
              <m:r>
                <m:t>​</m:t>
              </m:r>
            </m:sup>
            <m:e>
              <m:r>
                <m:rPr>
                  <m:sty m:val="p"/>
                </m:rPr>
                <m:t>exp</m:t>
              </m:r>
            </m:e>
          </m:nary>
          <m:r>
            <m:t>​</m:t>
          </m:r>
          <m:d>
            <m:dPr>
              <m:begChr m:val="("/>
              <m:sepChr m:val=""/>
              <m:endChr m:val=")"/>
              <m:grow/>
            </m:dPr>
            <m:e>
              <m:f>
                <m:fPr>
                  <m:type m:val="bar"/>
                </m:fPr>
                <m:num>
                  <m:sSub>
                    <m:e>
                      <m:r>
                        <m:t>r</m:t>
                      </m:r>
                    </m:e>
                    <m:sub>
                      <m:r>
                        <m:t>0</m:t>
                      </m:r>
                    </m:sub>
                  </m:sSub>
                  <m:r>
                    <m:rPr>
                      <m:sty m:val="p"/>
                    </m:rPr>
                    <m:t>−</m:t>
                  </m:r>
                  <m:sSub>
                    <m:e>
                      <m:r>
                        <m:t>d</m:t>
                      </m:r>
                    </m:e>
                    <m:sub>
                      <m:r>
                        <m:t>i</m:t>
                      </m:r>
                    </m:sub>
                  </m:sSub>
                </m:num>
                <m:den>
                  <m:r>
                    <m:t>B</m:t>
                  </m:r>
                </m:den>
              </m:f>
            </m:e>
          </m:d>
          <m:r>
            <m:rPr>
              <m:sty m:val="p"/>
            </m:rPr>
            <m:t>,</m:t>
          </m:r>
          <m:r>
            <m:t>  </m:t>
          </m:r>
          <m:r>
            <m:t>B</m:t>
          </m:r>
          <m:r>
            <m:rPr>
              <m:sty m:val="p"/>
            </m:rPr>
            <m:t>=</m:t>
          </m:r>
          <m:r>
            <m:t>0.37</m:t>
          </m:r>
          <m:r>
            <m:t> </m:t>
          </m:r>
          <m:r>
            <m:rPr>
              <m:nor/>
              <m:sty m:val="p"/>
            </m:rPr>
            <m:t>Å</m:t>
          </m:r>
        </m:oMath>
      </m:oMathPara>
    </w:p>
    <w:p>
      <w:pPr>
        <w:pStyle w:val="FirstParagraph"/>
      </w:pPr>
      <w:r>
        <w:t xml:space="preserve">accumulated over donor atoms within a 3.2 Å cutoff. For each candidate oxidation state</w:t>
      </w:r>
      <w:r>
        <w:t xml:space="preserve"> </w:t>
      </w:r>
      <m:oMath>
        <m:r>
          <m:t>n</m:t>
        </m:r>
      </m:oMath>
      <w:r>
        <w:t xml:space="preserve">, the deviation</w:t>
      </w:r>
      <w:r>
        <w:t xml:space="preserve"> </w:t>
      </w:r>
      <m:oMath>
        <m:sSub>
          <m:e>
            <m:r>
              <m:t>δ</m:t>
            </m:r>
          </m:e>
          <m:sub>
            <m:r>
              <m:t>n</m:t>
            </m:r>
          </m:sub>
        </m:sSub>
        <m:r>
          <m:rPr>
            <m:sty m:val="p"/>
          </m:rPr>
          <m:t>=</m:t>
        </m:r>
        <m:r>
          <m:rPr>
            <m:sty m:val="p"/>
          </m:rPr>
          <m:t>|</m:t>
        </m:r>
        <m:r>
          <m:rPr>
            <m:nor/>
            <m:sty m:val="p"/>
          </m:rPr>
          <m:t>BVS</m:t>
        </m:r>
        <m:r>
          <m:rPr>
            <m:sty m:val="p"/>
          </m:rPr>
          <m:t>−</m:t>
        </m:r>
        <m:r>
          <m:t>n</m:t>
        </m:r>
        <m:r>
          <m:rPr>
            <m:sty m:val="p"/>
          </m:rPr>
          <m:t>|</m:t>
        </m:r>
      </m:oMath>
      <w:r>
        <w:t xml:space="preserve"> </w:t>
      </w:r>
      <w:r>
        <w:t xml:space="preserve">is computed; the state with the minimal deviation is selected when</w:t>
      </w:r>
      <w:r>
        <w:t xml:space="preserve"> </w:t>
      </w:r>
      <m:oMath>
        <m:sSub>
          <m:e>
            <m:r>
              <m:rPr>
                <m:sty m:val="p"/>
              </m:rPr>
              <m:t>min</m:t>
            </m:r>
          </m:e>
          <m:sub>
            <m:r>
              <m:t>n</m:t>
            </m:r>
          </m:sub>
        </m:sSub>
        <m:sSub>
          <m:e>
            <m:r>
              <m:t>δ</m:t>
            </m:r>
          </m:e>
          <m:sub>
            <m:r>
              <m:t>n</m:t>
            </m:r>
          </m:sub>
        </m:sSub>
        <m:r>
          <m:rPr>
            <m:sty m:val="p"/>
          </m:rPr>
          <m:t>&lt;</m:t>
        </m:r>
        <m:r>
          <m:t>1.25</m:t>
        </m:r>
      </m:oMath>
      <w:r>
        <w:t xml:space="preserve"> </w:t>
      </w:r>
      <w:r>
        <w:t xml:space="preserve">vu. Bond-valence parameters</w:t>
      </w:r>
      <w:r>
        <w:t xml:space="preserve"> </w:t>
      </w:r>
      <m:oMath>
        <m:sSub>
          <m:e>
            <m:r>
              <m:t>r</m:t>
            </m:r>
          </m:e>
          <m:sub>
            <m:r>
              <m:t>0</m:t>
            </m:r>
          </m:sub>
        </m:sSub>
      </m:oMath>
      <w:r>
        <w:t xml:space="preserve"> </w:t>
      </w:r>
      <w:r>
        <w:t xml:space="preserve">follow Brese &amp; O’Keeffe / Brown &amp; Altermatt </w:t>
      </w:r>
      <w:r>
        <w:rPr>
          <w:vertAlign w:val="superscript"/>
          <w:sz w:val="18"/>
        </w:rPr>
        <w:t>[14,15]</w:t>
      </w:r>
      <w:r>
        <w:t xml:space="preserve">:</w:t>
      </w:r>
    </w:p>
    <w:p>
      <w:pPr>
        <w:pStyle w:val="BodyText"/>
      </w:pPr>
      <w:r>
        <w:rPr>
          <w:b/>
          <w:bCs/>
        </w:rPr>
        <w:t xml:space="preserve">Table 3.</w:t>
      </w:r>
      <w:r>
        <w:t xml:space="preserve"> </w:t>
      </w:r>
      <w:r>
        <w:t xml:space="preserve">Bond-valence-sum (BVS) bond-length parameters and supported oxidation states.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Metal</w:t>
            </w:r>
          </w:p>
        </w:tc>
        <w:tc>
          <w:tcPr/>
          <w:p>
            <w:pPr>
              <w:pStyle w:val="Compact"/>
            </w:pPr>
            <m:oMath>
              <m:sSub>
                <m:e>
                  <m:r>
                    <m:t>r</m:t>
                  </m:r>
                </m:e>
                <m:sub>
                  <m:r>
                    <m:t>0</m:t>
                  </m:r>
                </m:sub>
              </m:sSub>
            </m:oMath>
            <w:r>
              <w:t xml:space="preserve"> </w:t>
            </w:r>
            <w:r>
              <w:t xml:space="preserve">(M–O)</w:t>
            </w:r>
          </w:p>
        </w:tc>
        <w:tc>
          <w:tcPr/>
          <w:p>
            <w:pPr>
              <w:pStyle w:val="Compact"/>
            </w:pPr>
            <m:oMath>
              <m:sSub>
                <m:e>
                  <m:r>
                    <m:t>r</m:t>
                  </m:r>
                </m:e>
                <m:sub>
                  <m:r>
                    <m:t>0</m:t>
                  </m:r>
                </m:sub>
              </m:sSub>
            </m:oMath>
            <w:r>
              <w:t xml:space="preserve"> </w:t>
            </w:r>
            <w:r>
              <w:t xml:space="preserve">(M–N)</w:t>
            </w:r>
          </w:p>
        </w:tc>
        <w:tc>
          <w:tcPr/>
          <w:p>
            <w:pPr>
              <w:pStyle w:val="Compact"/>
            </w:pPr>
            <m:oMath>
              <m:sSub>
                <m:e>
                  <m:r>
                    <m:t>r</m:t>
                  </m:r>
                </m:e>
                <m:sub>
                  <m:r>
                    <m:t>0</m:t>
                  </m:r>
                </m:sub>
              </m:sSub>
            </m:oMath>
            <w:r>
              <w:t xml:space="preserve"> </w:t>
            </w:r>
            <w:r>
              <w:t xml:space="preserve">(M–S)</w:t>
            </w:r>
          </w:p>
        </w:tc>
        <w:tc>
          <w:tcPr/>
          <w:p>
            <w:pPr>
              <w:pStyle w:val="Compact"/>
            </w:pPr>
            <w:r>
              <w:t xml:space="preserve">States</w:t>
            </w:r>
          </w:p>
        </w:tc>
      </w:tr>
      <w:tr>
        <w:tc>
          <w:tcPr/>
          <w:p>
            <w:pPr>
              <w:pStyle w:val="Compact"/>
            </w:pPr>
            <w:r>
              <w:t xml:space="preserve">Fe</w:t>
            </w:r>
          </w:p>
        </w:tc>
        <w:tc>
          <w:tcPr/>
          <w:p>
            <w:pPr>
              <w:pStyle w:val="Compact"/>
            </w:pPr>
            <w:r>
              <w:t xml:space="preserve">1.76 / 1.73</w:t>
            </w:r>
          </w:p>
        </w:tc>
        <w:tc>
          <w:tcPr/>
          <w:p>
            <w:pPr>
              <w:pStyle w:val="Compact"/>
            </w:pPr>
            <w:r>
              <w:t xml:space="preserve">1.79 / 1.76</w:t>
            </w:r>
          </w:p>
        </w:tc>
        <w:tc>
          <w:tcPr/>
          <w:p>
            <w:pPr>
              <w:pStyle w:val="Compact"/>
            </w:pPr>
            <w:r>
              <w:t xml:space="preserve">2.05 / 1.98</w:t>
            </w:r>
          </w:p>
        </w:tc>
        <w:tc>
          <w:tcPr/>
          <w:p>
            <w:pPr>
              <w:pStyle w:val="Compact"/>
            </w:pPr>
            <w:r>
              <w:t xml:space="preserve">+2, +3</w:t>
            </w:r>
          </w:p>
        </w:tc>
      </w:tr>
      <w:tr>
        <w:tc>
          <w:tcPr/>
          <w:p>
            <w:pPr>
              <w:pStyle w:val="Compact"/>
            </w:pPr>
            <w:r>
              <w:t xml:space="preserve">Cu</w:t>
            </w:r>
          </w:p>
        </w:tc>
        <w:tc>
          <w:tcPr/>
          <w:p>
            <w:pPr>
              <w:pStyle w:val="Compact"/>
            </w:pPr>
            <w:r>
              <w:t xml:space="preserve">1.72 / 1.68</w:t>
            </w:r>
          </w:p>
        </w:tc>
        <w:tc>
          <w:tcPr/>
          <w:p>
            <w:pPr>
              <w:pStyle w:val="Compact"/>
            </w:pPr>
            <w:r>
              <w:t xml:space="preserve">1.74 / 1.70</w:t>
            </w:r>
          </w:p>
        </w:tc>
        <w:tc>
          <w:tcPr/>
          <w:p>
            <w:pPr>
              <w:pStyle w:val="Compact"/>
            </w:pPr>
            <w:r>
              <w:t xml:space="preserve">1.96 / 1.89</w:t>
            </w:r>
          </w:p>
        </w:tc>
        <w:tc>
          <w:tcPr/>
          <w:p>
            <w:pPr>
              <w:pStyle w:val="Compact"/>
            </w:pPr>
            <w:r>
              <w:t xml:space="preserve">+1, +2</w:t>
            </w:r>
          </w:p>
        </w:tc>
      </w:tr>
      <w:tr>
        <w:tc>
          <w:tcPr/>
          <w:p>
            <w:pPr>
              <w:pStyle w:val="Compact"/>
            </w:pPr>
            <w:r>
              <w:t xml:space="preserve">Mn</w:t>
            </w:r>
          </w:p>
        </w:tc>
        <w:tc>
          <w:tcPr/>
          <w:p>
            <w:pPr>
              <w:pStyle w:val="Compact"/>
            </w:pPr>
            <w:r>
              <w:t xml:space="preserve">1.79 / 1.76</w:t>
            </w:r>
          </w:p>
        </w:tc>
        <w:tc>
          <w:tcPr/>
          <w:p>
            <w:pPr>
              <w:pStyle w:val="Compact"/>
            </w:pPr>
            <w:r>
              <w:t xml:space="preserve">1.80 / 1.77</w:t>
            </w:r>
          </w:p>
        </w:tc>
        <w:tc>
          <w:tcPr/>
          <w:p>
            <w:pPr>
              <w:pStyle w:val="Compact"/>
            </w:pPr>
            <w:r>
              <w:t xml:space="preserve">—</w:t>
            </w:r>
          </w:p>
        </w:tc>
        <w:tc>
          <w:tcPr/>
          <w:p>
            <w:pPr>
              <w:pStyle w:val="Compact"/>
            </w:pPr>
            <w:r>
              <w:t xml:space="preserve">+2, +3</w:t>
            </w:r>
          </w:p>
        </w:tc>
      </w:tr>
      <w:tr>
        <w:tc>
          <w:tcPr/>
          <w:p>
            <w:pPr>
              <w:pStyle w:val="Compact"/>
            </w:pPr>
            <w:r>
              <w:t xml:space="preserve">Co</w:t>
            </w:r>
          </w:p>
        </w:tc>
        <w:tc>
          <w:tcPr/>
          <w:p>
            <w:pPr>
              <w:pStyle w:val="Compact"/>
            </w:pPr>
            <w:r>
              <w:t xml:space="preserve">1.75 / 1.70</w:t>
            </w:r>
          </w:p>
        </w:tc>
        <w:tc>
          <w:tcPr/>
          <w:p>
            <w:pPr>
              <w:pStyle w:val="Compact"/>
            </w:pPr>
            <w:r>
              <w:t xml:space="preserve">1.77 / 1.72</w:t>
            </w:r>
          </w:p>
        </w:tc>
        <w:tc>
          <w:tcPr/>
          <w:p>
            <w:pPr>
              <w:pStyle w:val="Compact"/>
            </w:pPr>
            <w:r>
              <w:t xml:space="preserve">—</w:t>
            </w:r>
          </w:p>
        </w:tc>
        <w:tc>
          <w:tcPr/>
          <w:p>
            <w:pPr>
              <w:pStyle w:val="Compact"/>
            </w:pPr>
            <w:r>
              <w:t xml:space="preserve">+2, +3</w:t>
            </w:r>
          </w:p>
        </w:tc>
      </w:tr>
      <w:tr>
        <w:tc>
          <w:tcPr/>
          <w:p>
            <w:pPr>
              <w:pStyle w:val="Compact"/>
            </w:pPr>
            <w:r>
              <w:t xml:space="preserve">V</w:t>
            </w:r>
          </w:p>
        </w:tc>
        <w:tc>
          <w:tcPr/>
          <w:p>
            <w:pPr>
              <w:pStyle w:val="Compact"/>
            </w:pPr>
            <w:r>
              <w:t xml:space="preserve">1.78 / 1.80</w:t>
            </w:r>
          </w:p>
        </w:tc>
        <w:tc>
          <w:tcPr/>
          <w:p>
            <w:pPr>
              <w:pStyle w:val="Compact"/>
            </w:pPr>
            <w:r>
              <w:t xml:space="preserve">1.80 / 1.82</w:t>
            </w:r>
          </w:p>
        </w:tc>
        <w:tc>
          <w:tcPr/>
          <w:p>
            <w:pPr>
              <w:pStyle w:val="Compact"/>
            </w:pPr>
            <w:r>
              <w:t xml:space="preserve">—</w:t>
            </w:r>
          </w:p>
        </w:tc>
        <w:tc>
          <w:tcPr/>
          <w:p>
            <w:pPr>
              <w:pStyle w:val="Compact"/>
            </w:pPr>
            <w:r>
              <w:t xml:space="preserve">+4, +5</w:t>
            </w:r>
          </w:p>
        </w:tc>
      </w:tr>
      <w:tr>
        <w:tc>
          <w:tcPr/>
          <w:p>
            <w:pPr>
              <w:pStyle w:val="Compact"/>
            </w:pPr>
            <w:r>
              <w:t xml:space="preserve">Mo</w:t>
            </w:r>
          </w:p>
        </w:tc>
        <w:tc>
          <w:tcPr/>
          <w:p>
            <w:pPr>
              <w:pStyle w:val="Compact"/>
            </w:pPr>
            <w:r>
              <w:t xml:space="preserve">1.90 / 1.86</w:t>
            </w:r>
          </w:p>
        </w:tc>
        <w:tc>
          <w:tcPr/>
          <w:p>
            <w:pPr>
              <w:pStyle w:val="Compact"/>
            </w:pPr>
            <w:r>
              <w:t xml:space="preserve">— / 1.92</w:t>
            </w:r>
          </w:p>
        </w:tc>
        <w:tc>
          <w:tcPr/>
          <w:p>
            <w:pPr>
              <w:pStyle w:val="Compact"/>
            </w:pPr>
            <w:r>
              <w:t xml:space="preserve">2.12 / —</w:t>
            </w:r>
          </w:p>
        </w:tc>
        <w:tc>
          <w:tcPr/>
          <w:p>
            <w:pPr>
              <w:pStyle w:val="Compact"/>
            </w:pPr>
            <w:r>
              <w:t xml:space="preserve">+4, +6</w:t>
            </w:r>
          </w:p>
        </w:tc>
      </w:tr>
      <w:tr>
        <w:tc>
          <w:tcPr/>
          <w:p>
            <w:pPr>
              <w:pStyle w:val="Compact"/>
            </w:pPr>
            <w:r>
              <w:t xml:space="preserve">Ni</w:t>
            </w:r>
          </w:p>
        </w:tc>
        <w:tc>
          <w:tcPr/>
          <w:p>
            <w:pPr>
              <w:pStyle w:val="Compact"/>
            </w:pPr>
            <w:r>
              <w:t xml:space="preserve">1.654 / 1.620</w:t>
            </w:r>
          </w:p>
        </w:tc>
        <w:tc>
          <w:tcPr/>
          <w:p>
            <w:pPr>
              <w:pStyle w:val="Compact"/>
            </w:pPr>
            <w:r>
              <w:t xml:space="preserve">1.679 / 1.650</w:t>
            </w:r>
          </w:p>
        </w:tc>
        <w:tc>
          <w:tcPr/>
          <w:p>
            <w:pPr>
              <w:pStyle w:val="Compact"/>
            </w:pPr>
            <w:r>
              <w:t xml:space="preserve">1.978 / 1.950</w:t>
            </w:r>
          </w:p>
        </w:tc>
        <w:tc>
          <w:tcPr/>
          <w:p>
            <w:pPr>
              <w:pStyle w:val="Compact"/>
            </w:pPr>
            <w:r>
              <w:t xml:space="preserve">+2, +3</w:t>
            </w:r>
          </w:p>
        </w:tc>
      </w:tr>
    </w:tbl>
    <w:p>
      <w:pPr>
        <w:pStyle w:val="BodyText"/>
      </w:pPr>
      <w:r>
        <w:t xml:space="preserve">(Entries are listed for the lower/higher oxidation state;</w:t>
      </w:r>
      <w:r>
        <w:t xml:space="preserve"> </w:t>
      </w:r>
      <w:r>
        <w:t xml:space="preserve">“—”</w:t>
      </w:r>
      <w:r>
        <w:t xml:space="preserve"> </w:t>
      </w:r>
      <w:r>
        <w:t xml:space="preserve">marks donors without published parameters.)</w:t>
      </w:r>
    </w:p>
    <w:p>
      <w:pPr>
        <w:pStyle w:val="BodyText"/>
      </w:pPr>
      <w:r>
        <w:rPr>
          <w:b/>
          <w:bCs/>
        </w:rPr>
        <w:t xml:space="preserve">Nature and limits of the BVS step.</w:t>
      </w:r>
      <w:r>
        <w:t xml:space="preserve"> </w:t>
      </w:r>
      <w:r>
        <w:t xml:space="preserve">The BVS calculation here is a</w:t>
      </w:r>
      <w:r>
        <w:t xml:space="preserve"> </w:t>
      </w:r>
      <w:r>
        <w:rPr>
          <w:i/>
          <w:iCs/>
        </w:rPr>
        <w:t xml:space="preserve">geometric heuristic for mode selection</w:t>
      </w:r>
      <w:r>
        <w:t xml:space="preserve">, not a charge-assignment or quantum-chemical determination: it reads only donor distances from the input PDBQT and is therefore sensitive to missing or extra donors (unsaturated or over-coordinated sites), protonation ambiguity of His/Asp/Glu donors, and incorrect metal symbols in the input structure. The deviation threshold (1.25 valence units) is intentionally loose; when no candidate state falls below it, the engine falls back to donor counting (step 3 above), and the user can override inference entirely with an explicit</w:t>
      </w:r>
      <w:r>
        <w:t xml:space="preserve"> </w:t>
      </w:r>
      <w:r>
        <w:rPr>
          <w:rStyle w:val="VerbatimChar"/>
        </w:rPr>
        <w:t xml:space="preserve">--metal_mode</w:t>
      </w:r>
      <w:r>
        <w:t xml:space="preserve"> </w:t>
      </w:r>
      <w:r>
        <w:t xml:space="preserve">token. The 14/14 result of Section 3.2.2 therefore characterizes the heuristic on designed, chemically clean inputs and should not be extrapolated to noisy experimental structures.</w:t>
      </w:r>
    </w:p>
    <w:bookmarkEnd w:id="22"/>
    <w:bookmarkStart w:id="23" w:name="jahnteller-distorted-octahedral-mode"/>
    <w:p>
      <w:pPr>
        <w:pStyle w:val="Heading3"/>
      </w:pPr>
      <w:r>
        <w:t xml:space="preserve">2.6 Jahn–Teller distorted-octahedral mode</w:t>
      </w:r>
    </w:p>
    <w:p>
      <w:pPr>
        <w:pStyle w:val="FirstParagraph"/>
      </w:pPr>
      <w:r>
        <w:t xml:space="preserve">For</w:t>
      </w:r>
      <w:r>
        <w:t xml:space="preserve"> </w:t>
      </w:r>
      <w:r>
        <w:rPr>
          <w:rStyle w:val="VerbatimChar"/>
        </w:rPr>
        <w:t xml:space="preserve">cu2_jt</w:t>
      </w:r>
      <w:r>
        <w:t xml:space="preserve"> </w:t>
      </w:r>
      <w:r>
        <w:t xml:space="preserve">and</w:t>
      </w:r>
      <w:r>
        <w:t xml:space="preserve"> </w:t>
      </w:r>
      <w:r>
        <w:rPr>
          <w:rStyle w:val="VerbatimChar"/>
        </w:rPr>
        <w:t xml:space="preserve">mn3_jt</w:t>
      </w:r>
      <w:r>
        <w:t xml:space="preserve">,</w:t>
      </w:r>
      <w:r>
        <w:t xml:space="preserve"> </w:t>
      </w:r>
      <w:r>
        <w:rPr>
          <w:rStyle w:val="VerbatimChar"/>
        </w:rPr>
        <w:t xml:space="preserve">ag4_tetragonal_axis()</w:t>
      </w:r>
      <w:r>
        <w:t xml:space="preserve"> </w:t>
      </w:r>
      <w:r>
        <w:t xml:space="preserve">estimates the JT elongation axis:</w:t>
      </w:r>
    </w:p>
    <w:p>
      <w:pPr>
        <w:pStyle w:val="Compact"/>
        <w:numPr>
          <w:ilvl w:val="0"/>
          <w:numId w:val="1006"/>
        </w:numPr>
      </w:pPr>
      <w:r>
        <w:t xml:space="preserve">collect donor direction vectors</w:t>
      </w:r>
      <w:r>
        <w:t xml:space="preserve"> </w:t>
      </w:r>
      <m:oMath>
        <m:r>
          <m:rPr>
            <m:sty m:val="p"/>
          </m:rPr>
          <m:t>{</m:t>
        </m:r>
        <m:sSub>
          <m:e>
            <m:acc>
              <m:accPr>
                <m:chr m:val="̂"/>
              </m:accPr>
              <m:e>
                <m:r>
                  <m:t>u</m:t>
                </m:r>
              </m:e>
            </m:acc>
          </m:e>
          <m:sub>
            <m:r>
              <m:t>i</m:t>
            </m:r>
          </m:sub>
        </m:sSub>
        <m:r>
          <m:rPr>
            <m:sty m:val="p"/>
          </m:rPr>
          <m:t>}</m:t>
        </m:r>
      </m:oMath>
      <w:r>
        <w:t xml:space="preserve"> </w:t>
      </w:r>
      <w:r>
        <w:t xml:space="preserve">within 3.4 Å of the metal;</w:t>
      </w:r>
    </w:p>
    <w:p>
      <w:pPr>
        <w:pStyle w:val="Compact"/>
        <w:numPr>
          <w:ilvl w:val="0"/>
          <w:numId w:val="1006"/>
        </w:numPr>
      </w:pPr>
      <w:r>
        <w:t xml:space="preserve">find an antipodal pair with</w:t>
      </w:r>
      <w:r>
        <w:t xml:space="preserve"> </w:t>
      </w:r>
      <m:oMath>
        <m:sSub>
          <m:e>
            <m:acc>
              <m:accPr>
                <m:chr m:val="̂"/>
              </m:accPr>
              <m:e>
                <m:r>
                  <m:t>u</m:t>
                </m:r>
              </m:e>
            </m:acc>
          </m:e>
          <m:sub>
            <m:r>
              <m:t>i</m:t>
            </m:r>
          </m:sub>
        </m:sSub>
        <m:r>
          <m:rPr>
            <m:sty m:val="p"/>
          </m:rPr>
          <m:t>⋅</m:t>
        </m:r>
        <m:sSub>
          <m:e>
            <m:acc>
              <m:accPr>
                <m:chr m:val="̂"/>
              </m:accPr>
              <m:e>
                <m:r>
                  <m:t>u</m:t>
                </m:r>
              </m:e>
            </m:acc>
          </m:e>
          <m:sub>
            <m:r>
              <m:t>j</m:t>
            </m:r>
          </m:sub>
        </m:sSub>
        <m:r>
          <m:rPr>
            <m:sty m:val="p"/>
          </m:rPr>
          <m:t>&lt;</m:t>
        </m:r>
        <m:r>
          <m:rPr>
            <m:sty m:val="p"/>
          </m:rPr>
          <m:t>−</m:t>
        </m:r>
        <m:r>
          <m:t>0.7</m:t>
        </m:r>
      </m:oMath>
      <w:r>
        <w:t xml:space="preserve">;</w:t>
      </w:r>
    </w:p>
    <w:p>
      <w:pPr>
        <w:pStyle w:val="Compact"/>
        <w:numPr>
          <w:ilvl w:val="0"/>
          <w:numId w:val="1006"/>
        </w:numPr>
      </w:pPr>
      <w:r>
        <w:t xml:space="preserve">the JT axis is</w:t>
      </w:r>
      <w:r>
        <w:t xml:space="preserve"> </w:t>
      </w:r>
      <m:oMath>
        <m:sSub>
          <m:e>
            <m:acc>
              <m:accPr>
                <m:chr m:val="̂"/>
              </m:accPr>
              <m:e>
                <m:r>
                  <m:t>z</m:t>
                </m:r>
              </m:e>
            </m:acc>
          </m:e>
          <m:sub>
            <m:r>
              <m:rPr>
                <m:nor/>
                <m:sty m:val="p"/>
              </m:rPr>
              <m:t>JT</m:t>
            </m:r>
          </m:sub>
        </m:sSub>
        <m:r>
          <m:rPr>
            <m:sty m:val="p"/>
          </m:rPr>
          <m:t>=</m:t>
        </m:r>
        <m:r>
          <m:rPr>
            <m:nor/>
            <m:sty m:val="p"/>
          </m:rPr>
          <m:t>normalize</m:t>
        </m:r>
        <m:r>
          <m:rPr>
            <m:sty m:val="p"/>
          </m:rPr>
          <m:t>(</m:t>
        </m:r>
        <m:r>
          <m:rPr>
            <m:sty m:val="p"/>
          </m:rPr>
          <m:t>(</m:t>
        </m:r>
        <m:sSub>
          <m:e>
            <m:acc>
              <m:accPr>
                <m:chr m:val="̂"/>
              </m:accPr>
              <m:e>
                <m:r>
                  <m:t>u</m:t>
                </m:r>
              </m:e>
            </m:acc>
          </m:e>
          <m:sub>
            <m:r>
              <m:t>i</m:t>
            </m:r>
          </m:sub>
        </m:sSub>
        <m:r>
          <m:rPr>
            <m:sty m:val="p"/>
          </m:rPr>
          <m:t>−</m:t>
        </m:r>
        <m:sSub>
          <m:e>
            <m:acc>
              <m:accPr>
                <m:chr m:val="̂"/>
              </m:accPr>
              <m:e>
                <m:r>
                  <m:t>u</m:t>
                </m:r>
              </m:e>
            </m:acc>
          </m:e>
          <m:sub>
            <m:r>
              <m:t>j</m:t>
            </m:r>
          </m:sub>
        </m:sSub>
        <m:r>
          <m:rPr>
            <m:sty m:val="p"/>
          </m:rPr>
          <m:t>)</m:t>
        </m:r>
        <m:r>
          <m:rPr>
            <m:sty m:val="p"/>
          </m:rPr>
          <m:t>/</m:t>
        </m:r>
        <m:r>
          <m:t>2</m:t>
        </m:r>
        <m:r>
          <m:rPr>
            <m:sty m:val="p"/>
          </m:rPr>
          <m:t>)</m:t>
        </m:r>
      </m:oMath>
      <w:r>
        <w:t xml:space="preserve">; if no pair exists, default to</w:t>
      </w:r>
      <w:r>
        <w:t xml:space="preserve"> </w:t>
      </w:r>
      <m:oMath>
        <m:r>
          <m:rPr>
            <m:sty m:val="p"/>
          </m:rPr>
          <m:t>(</m:t>
        </m:r>
        <m:r>
          <m:t>0</m:t>
        </m:r>
        <m:r>
          <m:rPr>
            <m:sty m:val="p"/>
          </m:rPr>
          <m:t>,</m:t>
        </m:r>
        <m:r>
          <m:t>0</m:t>
        </m:r>
        <m:r>
          <m:rPr>
            <m:sty m:val="p"/>
          </m:rPr>
          <m:t>,</m:t>
        </m:r>
        <m:r>
          <m:t>1</m:t>
        </m:r>
        <m:r>
          <m:rPr>
            <m:sty m:val="p"/>
          </m:rPr>
          <m:t>)</m:t>
        </m:r>
      </m:oMath>
      <w:r>
        <w:t xml:space="preserve">;</w:t>
      </w:r>
    </w:p>
    <w:p>
      <w:pPr>
        <w:pStyle w:val="Compact"/>
        <w:numPr>
          <w:ilvl w:val="0"/>
          <w:numId w:val="1006"/>
        </w:numPr>
      </w:pPr>
      <w:r>
        <w:t xml:space="preserve">equatorial directions (</w:t>
      </w:r>
      <m:oMath>
        <m:r>
          <m:rPr>
            <m:sty m:val="p"/>
          </m:rPr>
          <m:t>|</m:t>
        </m:r>
        <m:acc>
          <m:accPr>
            <m:chr m:val="̂"/>
          </m:accPr>
          <m:e>
            <m:r>
              <m:t>u</m:t>
            </m:r>
          </m:e>
        </m:acc>
        <m:r>
          <m:rPr>
            <m:sty m:val="p"/>
          </m:rPr>
          <m:t>⋅</m:t>
        </m:r>
        <m:sSub>
          <m:e>
            <m:acc>
              <m:accPr>
                <m:chr m:val="̂"/>
              </m:accPr>
              <m:e>
                <m:r>
                  <m:t>z</m:t>
                </m:r>
              </m:e>
            </m:acc>
          </m:e>
          <m:sub>
            <m:r>
              <m:rPr>
                <m:nor/>
                <m:sty m:val="p"/>
              </m:rPr>
              <m:t>JT</m:t>
            </m:r>
          </m:sub>
        </m:sSub>
        <m:r>
          <m:rPr>
            <m:sty m:val="p"/>
          </m:rPr>
          <m:t>|</m:t>
        </m:r>
        <m:r>
          <m:rPr>
            <m:sty m:val="p"/>
          </m:rPr>
          <m:t>&lt;</m:t>
        </m:r>
        <m:r>
          <m:t>0.3</m:t>
        </m:r>
      </m:oMath>
      <w:r>
        <w:t xml:space="preserve">, up to 4) receive equatorial pseudoatoms;</w:t>
      </w:r>
      <w:r>
        <w:t xml:space="preserve"> </w:t>
      </w:r>
      <m:oMath>
        <m:r>
          <m:rPr>
            <m:sty m:val="p"/>
          </m:rPr>
          <m:t>±</m:t>
        </m:r>
        <m:sSub>
          <m:e>
            <m:acc>
              <m:accPr>
                <m:chr m:val="̂"/>
              </m:accPr>
              <m:e>
                <m:r>
                  <m:t>z</m:t>
                </m:r>
              </m:e>
            </m:acc>
          </m:e>
          <m:sub>
            <m:r>
              <m:rPr>
                <m:nor/>
                <m:sty m:val="p"/>
              </m:rPr>
              <m:t>JT</m:t>
            </m:r>
          </m:sub>
        </m:sSub>
      </m:oMath>
      <w:r>
        <w:t xml:space="preserve"> </w:t>
      </w:r>
      <w:r>
        <w:t xml:space="preserve">receive axial pseudoatoms.</w:t>
      </w:r>
    </w:p>
    <w:p>
      <w:pPr>
        <w:pStyle w:val="FirstParagraph"/>
      </w:pPr>
      <w:r>
        <w:t xml:space="preserve">The differentiated axial (injection distance 2.45 Å for cu2_jt / 2.28 Å for mn3_jt, nbp ε 0.2–5.0) versus equatorial (injection 2.03/1.92 Å, ε 2.5–15.0) parameters allow the search to distinguish the two coordination spheres, which is essential for d⁹ Cu²⁺ and d⁴ Mn³⁺ sites.</w:t>
      </w:r>
    </w:p>
    <w:bookmarkEnd w:id="23"/>
    <w:bookmarkStart w:id="24" w:name="Xf7666e7f5807cb7631a2e9c71608849b9c76fc9"/>
    <w:p>
      <w:pPr>
        <w:pStyle w:val="Heading3"/>
      </w:pPr>
      <w:r>
        <w:t xml:space="preserve">2.7 Semi-explicit water bridge and geometry-based pose reranking</w:t>
      </w:r>
    </w:p>
    <w:p>
      <w:pPr>
        <w:pStyle w:val="FirstParagraph"/>
      </w:pPr>
      <w:r>
        <w:t xml:space="preserve">Coordinatively unsaturated sites are common in metalloenzymes (e.g., water-bridged Zn sites in matrix metalloproteinases). LKina automatically infers candidate bridging-water sites:</w:t>
      </w:r>
    </w:p>
    <w:p>
      <w:pPr>
        <w:pStyle w:val="BodyText"/>
      </w:pPr>
      <m:oMathPara>
        <m:oMathParaPr>
          <m:jc m:val="center"/>
        </m:oMathParaPr>
        <m:oMath>
          <m:sSub>
            <m:e>
              <m:r>
                <m:t>N</m:t>
              </m:r>
            </m:e>
            <m:sub>
              <m:r>
                <m:rPr>
                  <m:nor/>
                  <m:sty m:val="p"/>
                </m:rPr>
                <m:t>water</m:t>
              </m:r>
            </m:sub>
          </m:sSub>
          <m:r>
            <m:rPr>
              <m:sty m:val="p"/>
            </m:rPr>
            <m:t>=</m:t>
          </m:r>
          <m:r>
            <m:rPr>
              <m:sty m:val="p"/>
            </m:rPr>
            <m:t>min</m:t>
          </m:r>
          <m:r>
            <m:rPr>
              <m:sty m:val="p"/>
            </m:rPr>
            <m:t>(</m:t>
          </m:r>
          <m:r>
            <m:t>2</m:t>
          </m:r>
          <m:r>
            <m:rPr>
              <m:sty m:val="p"/>
            </m:rPr>
            <m:t>,</m:t>
          </m:r>
          <m:r>
            <m:t> </m:t>
          </m:r>
          <m:sSub>
            <m:e>
              <m:r>
                <m:t>N</m:t>
              </m:r>
            </m:e>
            <m:sub>
              <m:r>
                <m:rPr>
                  <m:nor/>
                  <m:sty m:val="p"/>
                </m:rPr>
                <m:t>max</m:t>
              </m:r>
            </m:sub>
          </m:sSub>
          <m:r>
            <m:rPr>
              <m:sty m:val="p"/>
            </m:rPr>
            <m:t>−</m:t>
          </m:r>
          <m:sSub>
            <m:e>
              <m:r>
                <m:t>N</m:t>
              </m:r>
            </m:e>
            <m:sub>
              <m:r>
                <m:rPr>
                  <m:nor/>
                  <m:sty m:val="p"/>
                </m:rPr>
                <m:t>receptor</m:t>
              </m:r>
            </m:sub>
          </m:sSub>
          <m:r>
            <m:rPr>
              <m:sty m:val="p"/>
            </m:rPr>
            <m:t>)</m:t>
          </m:r>
        </m:oMath>
      </m:oMathPara>
    </w:p>
    <w:p>
      <w:pPr>
        <w:pStyle w:val="FirstParagraph"/>
      </w:pPr>
      <w:r>
        <w:t xml:space="preserve">with positions from</w:t>
      </w:r>
      <w:r>
        <w:t xml:space="preserve"> </w:t>
      </w:r>
      <w:r>
        <w:rPr>
          <w:rStyle w:val="VerbatimChar"/>
        </w:rPr>
        <w:t xml:space="preserve">ag4_select_vacant_dirs()</w:t>
      </w:r>
      <w:r>
        <w:t xml:space="preserve"> </w:t>
      </w:r>
      <w:r>
        <w:t xml:space="preserve">and weights 0.90 (first water) and 0.70 (second). The post-processing water-bridge score (which does not enter the L-BFGS gradient) is</w:t>
      </w:r>
    </w:p>
    <w:p>
      <w:pPr>
        <w:pStyle w:val="BodyText"/>
      </w:pPr>
      <m:oMathPara>
        <m:oMathParaPr>
          <m:jc m:val="center"/>
        </m:oMathParaPr>
        <m:oMath>
          <m:sSub>
            <m:e>
              <m:r>
                <m:t>E</m:t>
              </m:r>
            </m:e>
            <m:sub>
              <m:r>
                <m:rPr>
                  <m:nor/>
                  <m:sty m:val="p"/>
                </m:rPr>
                <m:t>water</m:t>
              </m:r>
            </m:sub>
          </m:sSub>
          <m:r>
            <m:rPr>
              <m:sty m:val="p"/>
            </m:rPr>
            <m:t>=</m:t>
          </m:r>
          <m:r>
            <m:rPr>
              <m:sty m:val="p"/>
            </m:rPr>
            <m:t>−</m:t>
          </m:r>
          <m:r>
            <m:t>0.90</m:t>
          </m:r>
          <m:nary>
            <m:naryPr>
              <m:chr m:val="∑"/>
              <m:limLoc m:val="undOvr"/>
              <m:subHide m:val="off"/>
              <m:supHide m:val="on"/>
            </m:naryPr>
            <m:sub>
              <m:r>
                <m:rPr>
                  <m:nor/>
                  <m:sty m:val="p"/>
                </m:rPr>
                <m:t>sites</m:t>
              </m:r>
            </m:sub>
            <m:sup>
              <m:r>
                <m:t>​</m:t>
              </m:r>
            </m:sup>
            <m:e>
              <m:sSub>
                <m:e>
                  <m:r>
                    <m:t>w</m:t>
                  </m:r>
                </m:e>
                <m:sub>
                  <m:r>
                    <m:t>s</m:t>
                  </m:r>
                </m:sub>
              </m:sSub>
            </m:e>
          </m:nary>
          <m:r>
            <m:rPr>
              <m:sty m:val="p"/>
            </m:rPr>
            <m:t>exp</m:t>
          </m:r>
          <m:r>
            <m:t>​</m:t>
          </m:r>
          <m:d>
            <m:dPr>
              <m:begChr m:val="("/>
              <m:sepChr m:val=""/>
              <m:endChr m:val=")"/>
              <m:grow/>
            </m:dPr>
            <m:e>
              <m:r>
                <m:rPr>
                  <m:sty m:val="p"/>
                </m:rPr>
                <m:t>−</m:t>
              </m:r>
              <m:f>
                <m:fPr>
                  <m:type m:val="bar"/>
                </m:fPr>
                <m:num>
                  <m:r>
                    <m:rPr>
                      <m:sty m:val="p"/>
                    </m:rPr>
                    <m:t>(</m:t>
                  </m:r>
                  <m:sSub>
                    <m:e>
                      <m:r>
                        <m:t>d</m:t>
                      </m:r>
                    </m:e>
                    <m:sub>
                      <m:r>
                        <m:t>s</m:t>
                      </m:r>
                    </m:sub>
                  </m:sSub>
                  <m:r>
                    <m:rPr>
                      <m:sty m:val="p"/>
                    </m:rPr>
                    <m:t>−</m:t>
                  </m:r>
                  <m:r>
                    <m:t>2.80</m:t>
                  </m:r>
                  <m:sSup>
                    <m:e>
                      <m:r>
                        <m:rPr>
                          <m:sty m:val="p"/>
                        </m:rPr>
                        <m:t>)</m:t>
                      </m:r>
                    </m:e>
                    <m:sup>
                      <m:r>
                        <m:t>2</m:t>
                      </m:r>
                    </m:sup>
                  </m:sSup>
                </m:num>
                <m:den>
                  <m:r>
                    <m:t>2</m:t>
                  </m:r>
                  <m:r>
                    <m:rPr>
                      <m:sty m:val="p"/>
                    </m:rPr>
                    <m:t>×</m:t>
                  </m:r>
                  <m:sSup>
                    <m:e>
                      <m:r>
                        <m:t>0.40</m:t>
                      </m:r>
                    </m:e>
                    <m:sup>
                      <m:r>
                        <m:t>2</m:t>
                      </m:r>
                    </m:sup>
                  </m:sSup>
                </m:den>
              </m:f>
            </m:e>
          </m:d>
        </m:oMath>
      </m:oMathPara>
    </w:p>
    <w:p>
      <w:pPr>
        <w:pStyle w:val="FirstParagraph"/>
      </w:pPr>
      <w:r>
        <w:t xml:space="preserve">centered on the canonical M–O(water) distance of 2.80 Å. The complete metal rerank correction is</w:t>
      </w:r>
    </w:p>
    <w:p>
      <w:pPr>
        <w:pStyle w:val="BodyText"/>
      </w:pPr>
      <m:oMathPara>
        <m:oMathParaPr>
          <m:jc m:val="center"/>
        </m:oMathParaPr>
        <m:oMath>
          <m:sSub>
            <m:e>
              <m:r>
                <m:t>E</m:t>
              </m:r>
            </m:e>
            <m:sub>
              <m:r>
                <m:rPr>
                  <m:nor/>
                  <m:sty m:val="p"/>
                </m:rPr>
                <m:t>rerank</m:t>
              </m:r>
            </m:sub>
          </m:sSub>
          <m:r>
            <m:rPr>
              <m:sty m:val="p"/>
            </m:rPr>
            <m:t>=</m:t>
          </m:r>
          <m:sSub>
            <m:e>
              <m:r>
                <m:t>E</m:t>
              </m:r>
            </m:e>
            <m:sub>
              <m:r>
                <m:rPr>
                  <m:nor/>
                  <m:sty m:val="p"/>
                </m:rPr>
                <m:t>geo</m:t>
              </m:r>
            </m:sub>
          </m:sSub>
          <m:r>
            <m:rPr>
              <m:sty m:val="p"/>
            </m:rPr>
            <m:t>+</m:t>
          </m:r>
          <m:sSub>
            <m:e>
              <m:r>
                <m:t>E</m:t>
              </m:r>
            </m:e>
            <m:sub>
              <m:r>
                <m:rPr>
                  <m:nor/>
                  <m:sty m:val="p"/>
                </m:rPr>
                <m:t>water</m:t>
              </m:r>
            </m:sub>
          </m:sSub>
          <m:r>
            <m:rPr>
              <m:sty m:val="p"/>
            </m:rPr>
            <m:t>+</m:t>
          </m:r>
          <m:sSub>
            <m:e>
              <m:r>
                <m:t>E</m:t>
              </m:r>
            </m:e>
            <m:sub>
              <m:r>
                <m:rPr>
                  <m:nor/>
                  <m:sty m:val="p"/>
                </m:rPr>
                <m:t>JT</m:t>
              </m:r>
            </m:sub>
          </m:sSub>
          <m:r>
            <m:rPr>
              <m:sty m:val="p"/>
            </m:rPr>
            <m:t>,</m:t>
          </m:r>
        </m:oMath>
      </m:oMathPara>
    </w:p>
    <w:p>
      <w:pPr>
        <w:pStyle w:val="FirstParagraph"/>
      </w:pPr>
      <m:oMathPara>
        <m:oMathParaPr>
          <m:jc m:val="center"/>
        </m:oMathParaPr>
        <m:oMath>
          <m:sSub>
            <m:e>
              <m:r>
                <m:t>E</m:t>
              </m:r>
            </m:e>
            <m:sub>
              <m:r>
                <m:rPr>
                  <m:nor/>
                  <m:sty m:val="p"/>
                </m:rPr>
                <m:t>geo</m:t>
              </m:r>
            </m:sub>
          </m:sSub>
          <m:r>
            <m:rPr>
              <m:sty m:val="p"/>
            </m:rPr>
            <m:t>=</m:t>
          </m:r>
          <m:r>
            <m:rPr>
              <m:sty m:val="p"/>
            </m:rPr>
            <m:t>−</m:t>
          </m:r>
          <m:r>
            <m:t>1.25</m:t>
          </m:r>
          <m:nary>
            <m:naryPr>
              <m:chr m:val="∑"/>
              <m:limLoc m:val="undOvr"/>
              <m:subHide m:val="off"/>
              <m:supHide m:val="on"/>
            </m:naryPr>
            <m:sub>
              <m:r>
                <m:rPr>
                  <m:nor/>
                  <m:sty m:val="p"/>
                </m:rPr>
                <m:t>sites</m:t>
              </m:r>
            </m:sub>
            <m:sup>
              <m:r>
                <m:t>​</m:t>
              </m:r>
            </m:sup>
            <m:e>
              <m:limLow>
                <m:e>
                  <m:r>
                    <m:rPr>
                      <m:sty m:val="p"/>
                    </m:rPr>
                    <m:t>max</m:t>
                  </m:r>
                </m:e>
                <m:lim>
                  <m:r>
                    <m:t>i</m:t>
                  </m:r>
                  <m:r>
                    <m:rPr>
                      <m:sty m:val="p"/>
                    </m:rPr>
                    <m:t>∈</m:t>
                  </m:r>
                  <m:r>
                    <m:rPr>
                      <m:nor/>
                      <m:sty m:val="p"/>
                    </m:rPr>
                    <m:t>donors</m:t>
                  </m:r>
                </m:lim>
              </m:limLow>
            </m:e>
          </m:nary>
          <m:f>
            <m:fPr>
              <m:type m:val="bar"/>
            </m:fPr>
            <m:num>
              <m:sSub>
                <m:e>
                  <m:r>
                    <m:t>ε</m:t>
                  </m:r>
                </m:e>
                <m:sub>
                  <m:r>
                    <m:t>i</m:t>
                  </m:r>
                </m:sub>
              </m:sSub>
            </m:num>
            <m:den>
              <m:r>
                <m:t>20</m:t>
              </m:r>
            </m:den>
          </m:f>
          <m:r>
            <m:t> </m:t>
          </m:r>
          <m:r>
            <m:t>G</m:t>
          </m:r>
          <m:r>
            <m:rPr>
              <m:sty m:val="p"/>
            </m:rPr>
            <m:t>(</m:t>
          </m:r>
          <m:sSub>
            <m:e>
              <m:r>
                <m:t>d</m:t>
              </m:r>
            </m:e>
            <m:sub>
              <m:r>
                <m:t>i</m:t>
              </m:r>
            </m:sub>
          </m:sSub>
          <m:r>
            <m:rPr>
              <m:sty m:val="p"/>
            </m:rPr>
            <m:t>,</m:t>
          </m:r>
          <m:r>
            <m:t> </m:t>
          </m:r>
          <m:sSub>
            <m:e>
              <m:r>
                <m:t>r</m:t>
              </m:r>
            </m:e>
            <m:sub>
              <m:r>
                <m:rPr>
                  <m:nor/>
                  <m:sty m:val="p"/>
                </m:rPr>
                <m:t>eq</m:t>
              </m:r>
              <m:r>
                <m:rPr>
                  <m:sty m:val="p"/>
                </m:rPr>
                <m:t>,</m:t>
              </m:r>
              <m:r>
                <m:t>i</m:t>
              </m:r>
            </m:sub>
          </m:sSub>
          <m:r>
            <m:rPr>
              <m:sty m:val="p"/>
            </m:rPr>
            <m:t>,</m:t>
          </m:r>
          <m:r>
            <m:t> </m:t>
          </m:r>
          <m:r>
            <m:t>0.30</m:t>
          </m:r>
          <m:r>
            <m:rPr>
              <m:sty m:val="p"/>
            </m:rPr>
            <m:t>)</m:t>
          </m:r>
          <m:r>
            <m:rPr>
              <m:sty m:val="p"/>
            </m:rPr>
            <m:t>,</m:t>
          </m:r>
        </m:oMath>
      </m:oMathPara>
    </w:p>
    <w:p>
      <w:pPr>
        <w:pStyle w:val="FirstParagraph"/>
      </w:pPr>
      <m:oMathPara>
        <m:oMathParaPr>
          <m:jc m:val="center"/>
        </m:oMathParaPr>
        <m:oMath>
          <m:sSub>
            <m:e>
              <m:r>
                <m:t>E</m:t>
              </m:r>
            </m:e>
            <m:sub>
              <m:r>
                <m:rPr>
                  <m:nor/>
                  <m:sty m:val="p"/>
                </m:rPr>
                <m:t>JT</m:t>
              </m:r>
            </m:sub>
          </m:sSub>
          <m:r>
            <m:rPr>
              <m:sty m:val="p"/>
            </m:rPr>
            <m:t>=</m:t>
          </m:r>
          <m:r>
            <m:rPr>
              <m:sty m:val="p"/>
            </m:rPr>
            <m:t>−</m:t>
          </m:r>
          <m:r>
            <m:t>0.50</m:t>
          </m:r>
          <m:d>
            <m:dPr>
              <m:begChr m:val="["/>
              <m:sepChr m:val=""/>
              <m:endChr m:val="]"/>
              <m:grow/>
            </m:dPr>
            <m:e>
              <m:limLow>
                <m:e>
                  <m:r>
                    <m:rPr>
                      <m:sty m:val="p"/>
                    </m:rPr>
                    <m:t>max</m:t>
                  </m:r>
                </m:e>
                <m:lim>
                  <m:r>
                    <m:t>i</m:t>
                  </m:r>
                </m:lim>
              </m:limLow>
              <m:r>
                <m:t>​</m:t>
              </m:r>
              <m:r>
                <m:rPr>
                  <m:sty m:val="p"/>
                </m:rPr>
                <m:t>(</m:t>
              </m:r>
              <m:r>
                <m:rPr>
                  <m:sty m:val="p"/>
                </m:rPr>
                <m:t>|</m:t>
              </m:r>
              <m:r>
                <m:rPr>
                  <m:sty m:val="p"/>
                </m:rPr>
                <m:t>cos</m:t>
              </m:r>
              <m:sSub>
                <m:e>
                  <m:r>
                    <m:t>ϕ</m:t>
                  </m:r>
                </m:e>
                <m:sub>
                  <m:r>
                    <m:t>i</m:t>
                  </m:r>
                </m:sub>
              </m:sSub>
              <m:r>
                <m:rPr>
                  <m:sty m:val="p"/>
                </m:rPr>
                <m:t>|</m:t>
              </m:r>
              <m:r>
                <m:t> </m:t>
              </m:r>
              <m:r>
                <m:t>G</m:t>
              </m:r>
              <m:r>
                <m:rPr>
                  <m:sty m:val="p"/>
                </m:rPr>
                <m:t>(</m:t>
              </m:r>
              <m:sSub>
                <m:e>
                  <m:r>
                    <m:t>d</m:t>
                  </m:r>
                </m:e>
                <m:sub>
                  <m:r>
                    <m:t>i</m:t>
                  </m:r>
                </m:sub>
              </m:sSub>
              <m:r>
                <m:rPr>
                  <m:sty m:val="p"/>
                </m:rPr>
                <m:t>,</m:t>
              </m:r>
              <m:r>
                <m:t> </m:t>
              </m:r>
              <m:sSub>
                <m:e>
                  <m:r>
                    <m:t>d</m:t>
                  </m:r>
                </m:e>
                <m:sub>
                  <m:r>
                    <m:rPr>
                      <m:nor/>
                      <m:sty m:val="p"/>
                    </m:rPr>
                    <m:t>axial</m:t>
                  </m:r>
                </m:sub>
              </m:sSub>
              <m:r>
                <m:rPr>
                  <m:sty m:val="p"/>
                </m:rPr>
                <m:t>,</m:t>
              </m:r>
              <m:r>
                <m:t> </m:t>
              </m:r>
              <m:r>
                <m:t>0.35</m:t>
              </m:r>
              <m:r>
                <m:rPr>
                  <m:sty m:val="p"/>
                </m:rPr>
                <m:t>)</m:t>
              </m:r>
              <m:r>
                <m:rPr>
                  <m:sty m:val="p"/>
                </m:rPr>
                <m:t>)</m:t>
              </m:r>
              <m:r>
                <m:rPr>
                  <m:sty m:val="p"/>
                </m:rPr>
                <m:t>+</m:t>
              </m:r>
              <m:r>
                <m:t>0.5</m:t>
              </m:r>
              <m:limLow>
                <m:e>
                  <m:r>
                    <m:rPr>
                      <m:sty m:val="p"/>
                    </m:rPr>
                    <m:t>max</m:t>
                  </m:r>
                </m:e>
                <m:lim>
                  <m:r>
                    <m:t>i</m:t>
                  </m:r>
                </m:lim>
              </m:limLow>
              <m:r>
                <m:t>​</m:t>
              </m:r>
              <m:r>
                <m:rPr>
                  <m:sty m:val="p"/>
                </m:rPr>
                <m:t>(</m:t>
              </m:r>
              <m:r>
                <m:rPr>
                  <m:sty m:val="p"/>
                </m:rPr>
                <m:t>(</m:t>
              </m:r>
              <m:r>
                <m:t>1</m:t>
              </m:r>
              <m:r>
                <m:rPr>
                  <m:sty m:val="p"/>
                </m:rPr>
                <m:t>−</m:t>
              </m:r>
              <m:r>
                <m:rPr>
                  <m:sty m:val="p"/>
                </m:rPr>
                <m:t>|</m:t>
              </m:r>
              <m:r>
                <m:rPr>
                  <m:sty m:val="p"/>
                </m:rPr>
                <m:t>cos</m:t>
              </m:r>
              <m:sSub>
                <m:e>
                  <m:r>
                    <m:t>ϕ</m:t>
                  </m:r>
                </m:e>
                <m:sub>
                  <m:r>
                    <m:t>i</m:t>
                  </m:r>
                </m:sub>
              </m:sSub>
              <m:r>
                <m:rPr>
                  <m:sty m:val="p"/>
                </m:rPr>
                <m:t>|</m:t>
              </m:r>
              <m:r>
                <m:rPr>
                  <m:sty m:val="p"/>
                </m:rPr>
                <m:t>)</m:t>
              </m:r>
              <m:r>
                <m:t> </m:t>
              </m:r>
              <m:r>
                <m:t>G</m:t>
              </m:r>
              <m:r>
                <m:rPr>
                  <m:sty m:val="p"/>
                </m:rPr>
                <m:t>(</m:t>
              </m:r>
              <m:sSub>
                <m:e>
                  <m:r>
                    <m:t>d</m:t>
                  </m:r>
                </m:e>
                <m:sub>
                  <m:r>
                    <m:t>i</m:t>
                  </m:r>
                </m:sub>
              </m:sSub>
              <m:r>
                <m:rPr>
                  <m:sty m:val="p"/>
                </m:rPr>
                <m:t>,</m:t>
              </m:r>
              <m:r>
                <m:t> </m:t>
              </m:r>
              <m:sSub>
                <m:e>
                  <m:r>
                    <m:t>d</m:t>
                  </m:r>
                </m:e>
                <m:sub>
                  <m:r>
                    <m:rPr>
                      <m:nor/>
                      <m:sty m:val="p"/>
                    </m:rPr>
                    <m:t>eq</m:t>
                  </m:r>
                </m:sub>
              </m:sSub>
              <m:r>
                <m:rPr>
                  <m:sty m:val="p"/>
                </m:rPr>
                <m:t>,</m:t>
              </m:r>
              <m:r>
                <m:t> </m:t>
              </m:r>
              <m:r>
                <m:t>0.30</m:t>
              </m:r>
              <m:r>
                <m:rPr>
                  <m:sty m:val="p"/>
                </m:rPr>
                <m:t>)</m:t>
              </m:r>
              <m:r>
                <m:rPr>
                  <m:sty m:val="p"/>
                </m:rPr>
                <m:t>)</m:t>
              </m:r>
            </m:e>
          </m:d>
          <m:r>
            <m:rPr>
              <m:sty m:val="p"/>
            </m:rPr>
            <m:t>,</m:t>
          </m:r>
        </m:oMath>
      </m:oMathPara>
    </w:p>
    <w:p>
      <w:pPr>
        <w:pStyle w:val="FirstParagraph"/>
      </w:pPr>
      <w:r>
        <w:t xml:space="preserve">where</w:t>
      </w:r>
      <w:r>
        <w:t xml:space="preserve"> </w:t>
      </w:r>
      <m:oMath>
        <m:r>
          <m:t>G</m:t>
        </m:r>
        <m:r>
          <m:rPr>
            <m:sty m:val="p"/>
          </m:rPr>
          <m:t>(</m:t>
        </m:r>
        <m:r>
          <m:t>d</m:t>
        </m:r>
        <m:r>
          <m:rPr>
            <m:sty m:val="p"/>
          </m:rPr>
          <m:t>,</m:t>
        </m:r>
        <m:sSub>
          <m:e>
            <m:r>
              <m:t>d</m:t>
            </m:r>
          </m:e>
          <m:sub>
            <m:r>
              <m:t>0</m:t>
            </m:r>
          </m:sub>
        </m:sSub>
        <m:r>
          <m:rPr>
            <m:sty m:val="p"/>
          </m:rPr>
          <m:t>,</m:t>
        </m:r>
        <m:r>
          <m:t>σ</m:t>
        </m:r>
        <m:r>
          <m:rPr>
            <m:sty m:val="p"/>
          </m:rPr>
          <m:t>)</m:t>
        </m:r>
        <m:r>
          <m:rPr>
            <m:sty m:val="p"/>
          </m:rPr>
          <m:t>=</m:t>
        </m:r>
        <m:r>
          <m:rPr>
            <m:sty m:val="p"/>
          </m:rPr>
          <m:t>exp</m:t>
        </m:r>
        <m:r>
          <m:rPr>
            <m:sty m:val="p"/>
          </m:rPr>
          <m:t>(</m:t>
        </m:r>
        <m:r>
          <m:rPr>
            <m:sty m:val="p"/>
          </m:rPr>
          <m:t>−</m:t>
        </m:r>
        <m:r>
          <m:rPr>
            <m:sty m:val="p"/>
          </m:rPr>
          <m:t>(</m:t>
        </m:r>
        <m:r>
          <m:t>d</m:t>
        </m:r>
        <m:r>
          <m:rPr>
            <m:sty m:val="p"/>
          </m:rPr>
          <m:t>−</m:t>
        </m:r>
        <m:sSub>
          <m:e>
            <m:r>
              <m:t>d</m:t>
            </m:r>
          </m:e>
          <m:sub>
            <m:r>
              <m:t>0</m:t>
            </m:r>
          </m:sub>
        </m:sSub>
        <m:sSup>
          <m:e>
            <m:r>
              <m:rPr>
                <m:sty m:val="p"/>
              </m:rPr>
              <m:t>)</m:t>
            </m:r>
          </m:e>
          <m:sup>
            <m:r>
              <m:t>2</m:t>
            </m:r>
          </m:sup>
        </m:sSup>
        <m:r>
          <m:rPr>
            <m:sty m:val="p"/>
          </m:rPr>
          <m:t>/</m:t>
        </m:r>
        <m:r>
          <m:t>2</m:t>
        </m:r>
        <m:sSup>
          <m:e>
            <m:r>
              <m:t>σ</m:t>
            </m:r>
          </m:e>
          <m:sup>
            <m:r>
              <m:t>2</m:t>
            </m:r>
          </m:sup>
        </m:sSup>
        <m:r>
          <m:rPr>
            <m:sty m:val="p"/>
          </m:rPr>
          <m:t>)</m:t>
        </m:r>
      </m:oMath>
      <w:r>
        <w:t xml:space="preserve">. By design, the rerank terms affect only the final pose ranking and do not enter the search gradient, avoiding spurious forces; an optional search-time soft-constraint channel (</w:t>
      </w:r>
      <w:r>
        <w:rPr>
          <w:rStyle w:val="VerbatimChar"/>
        </w:rPr>
        <w:t xml:space="preserve">--metal_soft_weight</w:t>
      </w:r>
      <w:r>
        <w:t xml:space="preserve">, default 0.0, suggested 0.1–0.5) exposes a smooth log-sum-exp approximation of the geometry terms inside</w:t>
      </w:r>
      <w:r>
        <w:t xml:space="preserve"> </w:t>
      </w:r>
      <w:r>
        <w:rPr>
          <w:rStyle w:val="VerbatimChar"/>
        </w:rPr>
        <w:t xml:space="preserve">eval_deriv()</w:t>
      </w:r>
      <w:r>
        <w:t xml:space="preserve"> </w:t>
      </w:r>
      <w:r>
        <w:t xml:space="preserve">for users who wish to let the metal geometry steer the search itself.</w:t>
      </w:r>
    </w:p>
    <w:bookmarkEnd w:id="24"/>
    <w:bookmarkStart w:id="25" w:name="X77fa8cc49cfaa018f15c785432adb4f8bd5ba32"/>
    <w:p>
      <w:pPr>
        <w:pStyle w:val="Heading3"/>
      </w:pPr>
      <w:r>
        <w:t xml:space="preserve">2.8 Metal as ligand: reverse pair potentials and ligand-side QC</w:t>
      </w:r>
    </w:p>
    <w:p>
      <w:pPr>
        <w:pStyle w:val="FirstParagraph"/>
      </w:pPr>
      <w:r>
        <w:t xml:space="preserve">A frequent medicinal-chemistry scenario is the metal complex</w:t>
      </w:r>
      <w:r>
        <w:t xml:space="preserve"> </w:t>
      </w:r>
      <w:r>
        <w:rPr>
          <w:i/>
          <w:iCs/>
        </w:rPr>
        <w:t xml:space="preserve">as the ligand</w:t>
      </w:r>
      <w:r>
        <w:t xml:space="preserve"> </w:t>
      </w:r>
      <w:r>
        <w:t xml:space="preserve">(Pt, Ru, Au, Tc/Re, and Gd agents, or simple metal-ion probes). LKina supports this scenario through</w:t>
      </w:r>
      <w:r>
        <w:t xml:space="preserve"> </w:t>
      </w:r>
      <w:r>
        <w:rPr>
          <w:b/>
          <w:bCs/>
        </w:rPr>
        <w:t xml:space="preserve">reverse metal–donor pair potentials</w:t>
      </w:r>
      <w:r>
        <w:t xml:space="preserve">: after generating the receptor-metal</w:t>
      </w:r>
      <w:r>
        <w:t xml:space="preserve"> </w:t>
      </w:r>
      <w:r>
        <w:rPr>
          <w:rStyle w:val="VerbatimChar"/>
        </w:rPr>
        <w:t xml:space="preserve">donor → metal</w:t>
      </w:r>
      <w:r>
        <w:t xml:space="preserve"> </w:t>
      </w:r>
      <w:r>
        <w:rPr>
          <w:rStyle w:val="VerbatimChar"/>
        </w:rPr>
        <w:t xml:space="preserve">nbp_r_eps</w:t>
      </w:r>
      <w:r>
        <w:t xml:space="preserve"> </w:t>
      </w:r>
      <w:r>
        <w:t xml:space="preserve">overrides, the engine automatically constructs the complementary</w:t>
      </w:r>
      <w:r>
        <w:t xml:space="preserve"> </w:t>
      </w:r>
      <w:r>
        <w:rPr>
          <w:rStyle w:val="VerbatimChar"/>
        </w:rPr>
        <w:t xml:space="preserve">metal → donor</w:t>
      </w:r>
      <w:r>
        <w:t xml:space="preserve"> </w:t>
      </w:r>
      <w:r>
        <w:t xml:space="preserve">entries (with de-duplication), so that receptor OA/NA/SA/O/N/S donors exert the same directional coordination response on a metal probe atom. For metals with published MetalDock MC-optimized parameters (V, Cr, Co, Ni, Cu, Mo, Ru, Rh, Pd, Re, Os, Pt), the reverse</w:t>
      </w:r>
      <w:r>
        <w:t xml:space="preserve"> </w:t>
      </w:r>
      <w:r>
        <w:rPr>
          <w:rStyle w:val="VerbatimChar"/>
        </w:rPr>
        <w:t xml:space="preserve">metal → NA/OA/SA/HD</w:t>
      </w:r>
      <w:r>
        <w:t xml:space="preserve"> </w:t>
      </w:r>
      <w:r>
        <w:t xml:space="preserve">entries adopt the MetalDock ε combinations and 12–10 metal–donor potentials </w:t>
      </w:r>
      <w:r>
        <w:rPr>
          <w:vertAlign w:val="superscript"/>
          <w:sz w:val="18"/>
        </w:rPr>
        <w:t>[7]</w:t>
      </w:r>
      <w:r>
        <w:t xml:space="preserve">; other metals keep the symmetric reverse completion. For Pt/Pd (square-planar) and Ru/Os/Re (octahedral) complexes, an additional ligand-side geometry QC reports</w:t>
      </w:r>
      <w:r>
        <w:t xml:space="preserve"> </w:t>
      </w:r>
      <w:r>
        <w:rPr>
          <w:rStyle w:val="VerbatimChar"/>
        </w:rPr>
        <w:t xml:space="preserve">LIGAND_METAL_GEOM</w:t>
      </w:r>
      <w:r>
        <w:t xml:space="preserve"> </w:t>
      </w:r>
      <w:r>
        <w:t xml:space="preserve">/</w:t>
      </w:r>
      <w:r>
        <w:t xml:space="preserve"> </w:t>
      </w:r>
      <w:r>
        <w:rPr>
          <w:rStyle w:val="VerbatimChar"/>
        </w:rPr>
        <w:t xml:space="preserve">LIGAND_METAL_SITE</w:t>
      </w:r>
      <w:r>
        <w:t xml:space="preserve"> </w:t>
      </w:r>
      <w:r>
        <w:t xml:space="preserve">REMARKs, and</w:t>
      </w:r>
      <w:r>
        <w:t xml:space="preserve"> </w:t>
      </w:r>
      <w:r>
        <w:rPr>
          <w:rStyle w:val="VerbatimChar"/>
        </w:rPr>
        <w:t xml:space="preserve">--ligand_metal_geometry_weight &gt; 0</w:t>
      </w:r>
      <w:r>
        <w:t xml:space="preserve"> </w:t>
      </w:r>
      <w:r>
        <w:t xml:space="preserve">optionally promotes the geometry penalty into the post-processing ranking.</w:t>
      </w:r>
    </w:p>
    <w:bookmarkEnd w:id="25"/>
    <w:bookmarkStart w:id="26" w:name="reactive-covalent-docking-framework-p1p4"/>
    <w:p>
      <w:pPr>
        <w:pStyle w:val="Heading3"/>
      </w:pPr>
      <w:r>
        <w:t xml:space="preserve">2.9 Reactive covalent docking framework (P1–P4)</w:t>
      </w:r>
    </w:p>
    <w:p>
      <w:pPr>
        <w:pStyle w:val="FirstParagraph"/>
      </w:pPr>
      <w:r>
        <w:rPr>
          <w:b/>
          <w:bCs/>
        </w:rPr>
        <w:t xml:space="preserve">Task definition and terminology.</w:t>
      </w:r>
      <w:r>
        <w:t xml:space="preserve"> </w:t>
      </w:r>
      <w:r>
        <w:t xml:space="preserve">Throughout this work,</w:t>
      </w:r>
      <w:r>
        <w:t xml:space="preserve"> </w:t>
      </w:r>
      <w:r>
        <w:rPr>
          <w:i/>
          <w:iCs/>
        </w:rPr>
        <w:t xml:space="preserve">covalent docking</w:t>
      </w:r>
      <w:r>
        <w:t xml:space="preserve"> </w:t>
      </w:r>
      <w:r>
        <w:t xml:space="preserve">means docking the</w:t>
      </w:r>
      <w:r>
        <w:t xml:space="preserve"> </w:t>
      </w:r>
      <w:r>
        <w:rPr>
          <w:b/>
          <w:bCs/>
        </w:rPr>
        <w:t xml:space="preserve">pre-reaction complex</w:t>
      </w:r>
      <w:r>
        <w:t xml:space="preserve">: the ligand carries an unreacted warhead (electrophilic center) and the receptor an unmodified nucleophilic atom (e.g. Cys SG), and no bond is ever formed during the search — output poses remain non-bonded geometries, and the covalent adduct itself is represented only by convergence to the target bond length</w:t>
      </w:r>
      <w:r>
        <w:t xml:space="preserve"> </w:t>
      </w:r>
      <m:oMath>
        <m:sSub>
          <m:e>
            <m:r>
              <m:t>r</m:t>
            </m:r>
          </m:e>
          <m:sub>
            <m:r>
              <m:t>0</m:t>
            </m:r>
          </m:sub>
        </m:sSub>
      </m:oMath>
      <w:r>
        <w:t xml:space="preserve">. We use four terms strictly: (i) the</w:t>
      </w:r>
      <w:r>
        <w:t xml:space="preserve"> </w:t>
      </w:r>
      <w:r>
        <w:rPr>
          <w:i/>
          <w:iCs/>
        </w:rPr>
        <w:t xml:space="preserve">pre-reaction complex</w:t>
      </w:r>
      <w:r>
        <w:t xml:space="preserve"> </w:t>
      </w:r>
      <w:r>
        <w:t xml:space="preserve">is the input state above; (ii) a</w:t>
      </w:r>
      <w:r>
        <w:t xml:space="preserve"> </w:t>
      </w:r>
      <w:r>
        <w:rPr>
          <w:i/>
          <w:iCs/>
        </w:rPr>
        <w:t xml:space="preserve">near-attack conformation (NAC)</w:t>
      </w:r>
      <w:r>
        <w:t xml:space="preserve"> </w:t>
      </w:r>
      <w:r>
        <w:t xml:space="preserve">is a pose whose nucleophile–electrophile geometry satisfies the reaction criteria (distance &lt; 3.0 Å and attack angle within ±25° of the preset target; Table 4) </w:t>
      </w:r>
      <w:r>
        <w:rPr>
          <w:vertAlign w:val="superscript"/>
          <w:sz w:val="18"/>
        </w:rPr>
        <w:t>[10,11]</w:t>
      </w:r>
      <w:r>
        <w:t xml:space="preserve">; (iii) a</w:t>
      </w:r>
      <w:r>
        <w:t xml:space="preserve"> </w:t>
      </w:r>
      <w:r>
        <w:rPr>
          <w:i/>
          <w:iCs/>
        </w:rPr>
        <w:t xml:space="preserve">reactive pose</w:t>
      </w:r>
      <w:r>
        <w:t xml:space="preserve"> </w:t>
      </w:r>
      <w:r>
        <w:t xml:space="preserve">is an output pose flagged by the NAC detector as satisfying those criteria — the flag is geometric and carries no claim about chemical reactivity; and (iv) the</w:t>
      </w:r>
      <w:r>
        <w:t xml:space="preserve"> </w:t>
      </w:r>
      <w:r>
        <w:rPr>
          <w:i/>
          <w:iCs/>
        </w:rPr>
        <w:t xml:space="preserve">covalent adduct</w:t>
      </w:r>
      <w:r>
        <w:t xml:space="preserve"> </w:t>
      </w:r>
      <w:r>
        <w:t xml:space="preserve">is the post-reaction bonded species, which LKina does not model. Attack angles follow the Bürgi–Dunitz trajectory for addition (≈109.5°) and the backside trajectory for SN2 substitution (180°).</w:t>
      </w:r>
    </w:p>
    <w:p>
      <w:pPr>
        <w:pStyle w:val="BodyText"/>
      </w:pPr>
      <w:r>
        <w:t xml:space="preserve">LKina’s reactive docking adds an</w:t>
      </w:r>
      <w:r>
        <w:t xml:space="preserve"> </w:t>
      </w:r>
      <w:r>
        <w:rPr>
          <w:i/>
          <w:iCs/>
        </w:rPr>
        <w:t xml:space="preserve">additive penalty layer</w:t>
      </w:r>
      <w:r>
        <w:t xml:space="preserve"> </w:t>
      </w:r>
      <w:r>
        <w:t xml:space="preserve">on top of the AD4 grid score. Four progressively richer constraint tiers are available:</w:t>
      </w:r>
    </w:p>
    <w:p>
      <w:pPr>
        <w:pStyle w:val="BodyText"/>
      </w:pPr>
      <w:r>
        <w:rPr>
          <w:b/>
          <w:bCs/>
        </w:rPr>
        <w:t xml:space="preserve">P1, distance constraint (Gaussian attractor).</w:t>
      </w:r>
      <w:r>
        <w:t xml:space="preserve"> </w:t>
      </w:r>
      <w:r>
        <w:t xml:space="preserve">The receptor electrophile (e.g., Cys SG) and the ligand nucleophile are pinned by</w:t>
      </w:r>
    </w:p>
    <w:p>
      <w:pPr>
        <w:pStyle w:val="BodyText"/>
      </w:pPr>
      <m:oMathPara>
        <m:oMathParaPr>
          <m:jc m:val="center"/>
        </m:oMathParaPr>
        <m:oMath>
          <m:sSub>
            <m:e>
              <m:r>
                <m:t>E</m:t>
              </m:r>
            </m:e>
            <m:sub>
              <m:r>
                <m:rPr>
                  <m:nor/>
                  <m:sty m:val="p"/>
                </m:rPr>
                <m:t>P1</m:t>
              </m:r>
            </m:sub>
          </m:sSub>
          <m:r>
            <m:rPr>
              <m:sty m:val="p"/>
            </m:rPr>
            <m:t>(</m:t>
          </m:r>
          <m:r>
            <m:t>r</m:t>
          </m:r>
          <m:r>
            <m:rPr>
              <m:sty m:val="p"/>
            </m:rPr>
            <m:t>)</m:t>
          </m:r>
          <m:r>
            <m:rPr>
              <m:sty m:val="p"/>
            </m:rPr>
            <m:t>=</m:t>
          </m:r>
          <m:r>
            <m:rPr>
              <m:sty m:val="p"/>
            </m:rPr>
            <m:t>−</m:t>
          </m:r>
          <m:r>
            <m:t>A</m:t>
          </m:r>
          <m:r>
            <m:rPr>
              <m:sty m:val="p"/>
            </m:rPr>
            <m:t>exp</m:t>
          </m:r>
          <m:r>
            <m:t>​</m:t>
          </m:r>
          <m:d>
            <m:dPr>
              <m:begChr m:val="("/>
              <m:sepChr m:val=""/>
              <m:endChr m:val=")"/>
              <m:grow/>
            </m:dPr>
            <m:e>
              <m:r>
                <m:rPr>
                  <m:sty m:val="p"/>
                </m:rPr>
                <m:t>−</m:t>
              </m:r>
              <m:f>
                <m:fPr>
                  <m:type m:val="bar"/>
                </m:fPr>
                <m:num>
                  <m:r>
                    <m:rPr>
                      <m:sty m:val="p"/>
                    </m:rPr>
                    <m:t>(</m:t>
                  </m:r>
                  <m:r>
                    <m:t>r</m:t>
                  </m:r>
                  <m:r>
                    <m:rPr>
                      <m:sty m:val="p"/>
                    </m:rPr>
                    <m:t>−</m:t>
                  </m:r>
                  <m:sSub>
                    <m:e>
                      <m:r>
                        <m:t>r</m:t>
                      </m:r>
                    </m:e>
                    <m:sub>
                      <m:r>
                        <m:t>0</m:t>
                      </m:r>
                    </m:sub>
                  </m:sSub>
                  <m:sSup>
                    <m:e>
                      <m:r>
                        <m:rPr>
                          <m:sty m:val="p"/>
                        </m:rPr>
                        <m:t>)</m:t>
                      </m:r>
                    </m:e>
                    <m:sup>
                      <m:r>
                        <m:t>2</m:t>
                      </m:r>
                    </m:sup>
                  </m:sSup>
                </m:num>
                <m:den>
                  <m:r>
                    <m:t>2</m:t>
                  </m:r>
                  <m:sSup>
                    <m:e>
                      <m:r>
                        <m:t>σ</m:t>
                      </m:r>
                    </m:e>
                    <m:sup>
                      <m:r>
                        <m:t>2</m:t>
                      </m:r>
                    </m:sup>
                  </m:sSup>
                </m:den>
              </m:f>
            </m:e>
          </m:d>
          <m:r>
            <m:rPr>
              <m:sty m:val="p"/>
            </m:rPr>
            <m:t>+</m:t>
          </m:r>
          <m:sSub>
            <m:e>
              <m:r>
                <m:t>k</m:t>
              </m:r>
            </m:e>
            <m:sub>
              <m:r>
                <m:t>r</m:t>
              </m:r>
            </m:sub>
          </m:sSub>
          <m:r>
            <m:rPr>
              <m:sty m:val="p"/>
            </m:rPr>
            <m:t>(</m:t>
          </m:r>
          <m:r>
            <m:t>r</m:t>
          </m:r>
          <m:r>
            <m:rPr>
              <m:sty m:val="p"/>
            </m:rPr>
            <m:t>−</m:t>
          </m:r>
          <m:sSub>
            <m:e>
              <m:r>
                <m:t>r</m:t>
              </m:r>
            </m:e>
            <m:sub>
              <m:r>
                <m:t>0</m:t>
              </m:r>
            </m:sub>
          </m:sSub>
          <m:sSup>
            <m:e>
              <m:r>
                <m:rPr>
                  <m:sty m:val="p"/>
                </m:rPr>
                <m:t>)</m:t>
              </m:r>
            </m:e>
            <m:sup>
              <m:r>
                <m:t>2</m:t>
              </m:r>
            </m:sup>
          </m:sSup>
          <m:r>
            <m:rPr>
              <m:sty m:val="p"/>
            </m:rPr>
            <m:t>⋅</m:t>
          </m:r>
          <m:r>
            <m:rPr>
              <m:sty m:val="b"/>
            </m:rPr>
            <m:t>1</m:t>
          </m:r>
          <m:r>
            <m:rPr>
              <m:sty m:val="p"/>
            </m:rPr>
            <m:t>[</m:t>
          </m:r>
          <m:r>
            <m:t>r</m:t>
          </m:r>
          <m:r>
            <m:rPr>
              <m:sty m:val="p"/>
            </m:rPr>
            <m:t>&gt;</m:t>
          </m:r>
          <m:sSub>
            <m:e>
              <m:r>
                <m:t>r</m:t>
              </m:r>
            </m:e>
            <m:sub>
              <m:r>
                <m:t>0</m:t>
              </m:r>
            </m:sub>
          </m:sSub>
          <m:r>
            <m:rPr>
              <m:sty m:val="p"/>
            </m:rPr>
            <m:t>+</m:t>
          </m:r>
          <m:r>
            <m:t>σ</m:t>
          </m:r>
          <m:r>
            <m:rPr>
              <m:sty m:val="p"/>
            </m:rPr>
            <m:t>]</m:t>
          </m:r>
          <m:r>
            <m:rPr>
              <m:sty m:val="p"/>
            </m:rPr>
            <m:t>,</m:t>
          </m:r>
        </m:oMath>
      </m:oMathPara>
    </w:p>
    <w:p>
      <w:pPr>
        <w:pStyle w:val="FirstParagraph"/>
      </w:pPr>
      <w:r>
        <w:t xml:space="preserve">which attracts the pair toward the target bond length</w:t>
      </w:r>
      <w:r>
        <w:t xml:space="preserve"> </w:t>
      </w:r>
      <m:oMath>
        <m:sSub>
          <m:e>
            <m:r>
              <m:t>r</m:t>
            </m:r>
          </m:e>
          <m:sub>
            <m:r>
              <m:t>0</m:t>
            </m:r>
          </m:sub>
        </m:sSub>
      </m:oMath>
      <w:r>
        <w:t xml:space="preserve"> </w:t>
      </w:r>
      <w:r>
        <w:t xml:space="preserve">and applies a quadratic penalty when the ligand drifts beyond</w:t>
      </w:r>
      <w:r>
        <w:t xml:space="preserve"> </w:t>
      </w:r>
      <m:oMath>
        <m:sSub>
          <m:e>
            <m:r>
              <m:t>r</m:t>
            </m:r>
          </m:e>
          <m:sub>
            <m:r>
              <m:t>0</m:t>
            </m:r>
          </m:sub>
        </m:sSub>
        <m:r>
          <m:rPr>
            <m:sty m:val="p"/>
          </m:rPr>
          <m:t>+</m:t>
        </m:r>
        <m:r>
          <m:t>σ</m:t>
        </m:r>
      </m:oMath>
      <w:r>
        <w:t xml:space="preserve">. The gradient with respect to the ligand coordinates is computed analytically. The amplitude</w:t>
      </w:r>
      <w:r>
        <w:t xml:space="preserve"> </w:t>
      </w:r>
      <m:oMath>
        <m:r>
          <m:t>A</m:t>
        </m:r>
      </m:oMath>
      <w:r>
        <w:t xml:space="preserve"> </w:t>
      </w:r>
      <w:r>
        <w:t xml:space="preserve">(the</w:t>
      </w:r>
      <w:r>
        <w:t xml:space="preserve"> </w:t>
      </w:r>
      <w:r>
        <w:t xml:space="preserve">“reactive strength”</w:t>
      </w:r>
      <w:r>
        <w:t xml:space="preserve"> </w:t>
      </w:r>
      <w:r>
        <w:t xml:space="preserve">or attractor depth) carries the kcal/mol scale of the parent AD4 score; it is a dimensioned</w:t>
      </w:r>
      <w:r>
        <w:t xml:space="preserve"> </w:t>
      </w:r>
      <w:r>
        <w:rPr>
          <w:i/>
          <w:iCs/>
        </w:rPr>
        <w:t xml:space="preserve">guidance weight of the empirical score</w:t>
      </w:r>
      <w:r>
        <w:t xml:space="preserve">, not a physically derived interaction energy, and it is linear by construction (the term is additive in</w:t>
      </w:r>
      <w:r>
        <w:t xml:space="preserve"> </w:t>
      </w:r>
      <m:oMath>
        <m:r>
          <m:t>A</m:t>
        </m:r>
      </m:oMath>
      <w:r>
        <w:t xml:space="preserve">; Section 3.7 verifies the linear score response). The defaults (Table 4; e.g. a 10 kcal/mol Gaussian well for</w:t>
      </w:r>
      <w:r>
        <w:t xml:space="preserve"> </w:t>
      </w:r>
      <w:r>
        <w:rPr>
          <w:rStyle w:val="VerbatimChar"/>
        </w:rPr>
        <w:t xml:space="preserve">cys_michael</w:t>
      </w:r>
      <w:r>
        <w:t xml:space="preserve">) keep the anchor contribution comparable to a strong hydrogen-bond/vdW well; at substantially larger strengths the anchor can dominate the total score and distort pose ranking, which we quantify in Section 3.7 and caution against.</w:t>
      </w:r>
    </w:p>
    <w:p>
      <w:pPr>
        <w:pStyle w:val="BodyText"/>
      </w:pPr>
      <w:r>
        <w:rPr>
          <w:b/>
          <w:bCs/>
        </w:rPr>
        <w:t xml:space="preserve">P2, angle constraint.</w:t>
      </w:r>
      <w:r>
        <w:t xml:space="preserve"> </w:t>
      </w:r>
      <w:r>
        <w:t xml:space="preserve">A harmonic angular term enforces the attack angle at the nucleophile:</w:t>
      </w:r>
    </w:p>
    <w:p>
      <w:pPr>
        <w:pStyle w:val="BodyText"/>
      </w:pPr>
      <m:oMathPara>
        <m:oMathParaPr>
          <m:jc m:val="center"/>
        </m:oMathParaPr>
        <m:oMath>
          <m:sSub>
            <m:e>
              <m:r>
                <m:t>E</m:t>
              </m:r>
            </m:e>
            <m:sub>
              <m:r>
                <m:rPr>
                  <m:nor/>
                  <m:sty m:val="p"/>
                </m:rPr>
                <m:t>P2</m:t>
              </m:r>
            </m:sub>
          </m:sSub>
          <m:r>
            <m:rPr>
              <m:sty m:val="p"/>
            </m:rPr>
            <m:t>(</m:t>
          </m:r>
          <m:r>
            <m:t>θ</m:t>
          </m:r>
          <m:r>
            <m:rPr>
              <m:sty m:val="p"/>
            </m:rPr>
            <m:t>)</m:t>
          </m:r>
          <m:r>
            <m:rPr>
              <m:sty m:val="p"/>
            </m:rPr>
            <m:t>=</m:t>
          </m:r>
          <m:sSub>
            <m:e>
              <m:r>
                <m:t>k</m:t>
              </m:r>
            </m:e>
            <m:sub>
              <m:r>
                <m:t>θ</m:t>
              </m:r>
            </m:sub>
          </m:sSub>
          <m:r>
            <m:t> </m:t>
          </m:r>
          <m:r>
            <m:rPr>
              <m:sty m:val="p"/>
            </m:rPr>
            <m:t>(</m:t>
          </m:r>
          <m:r>
            <m:rPr>
              <m:sty m:val="p"/>
            </m:rPr>
            <m:t>cos</m:t>
          </m:r>
          <m:r>
            <m:t>θ</m:t>
          </m:r>
          <m:r>
            <m:rPr>
              <m:sty m:val="p"/>
            </m:rPr>
            <m:t>−</m:t>
          </m:r>
          <m:r>
            <m:rPr>
              <m:sty m:val="p"/>
            </m:rPr>
            <m:t>cos</m:t>
          </m:r>
          <m:sSub>
            <m:e>
              <m:r>
                <m:t>θ</m:t>
              </m:r>
            </m:e>
            <m:sub>
              <m:r>
                <m:t>0</m:t>
              </m:r>
            </m:sub>
          </m:sSub>
          <m:sSup>
            <m:e>
              <m:r>
                <m:rPr>
                  <m:sty m:val="p"/>
                </m:rPr>
                <m:t>)</m:t>
              </m:r>
            </m:e>
            <m:sup>
              <m:r>
                <m:t>2</m:t>
              </m:r>
            </m:sup>
          </m:sSup>
          <m:r>
            <m:rPr>
              <m:sty m:val="p"/>
            </m:rPr>
            <m:t>,</m:t>
          </m:r>
        </m:oMath>
      </m:oMathPara>
    </w:p>
    <w:p>
      <w:pPr>
        <w:pStyle w:val="FirstParagraph"/>
      </w:pPr>
      <w:r>
        <w:t xml:space="preserve">with the target angle</w:t>
      </w:r>
      <w:r>
        <w:t xml:space="preserve"> </w:t>
      </w:r>
      <m:oMath>
        <m:sSub>
          <m:e>
            <m:r>
              <m:t>θ</m:t>
            </m:r>
          </m:e>
          <m:sub>
            <m:r>
              <m:t>0</m:t>
            </m:r>
          </m:sub>
        </m:sSub>
      </m:oMath>
      <w:r>
        <w:t xml:space="preserve"> </w:t>
      </w:r>
      <w:r>
        <w:t xml:space="preserve">adapted to the mechanism: 180° for SN2 backside attack, ≈109.5° for Michael addition (the Bürgi–Dunitz trajectory toward the tetrahedral transition state). Receptor-side and ligand-side frame atoms (</w:t>
      </w:r>
      <w:r>
        <w:rPr>
          <w:rStyle w:val="VerbatimChar"/>
        </w:rPr>
        <w:t xml:space="preserve">--reactive_frame_atom</w:t>
      </w:r>
      <w:r>
        <w:t xml:space="preserve">,</w:t>
      </w:r>
      <w:r>
        <w:t xml:space="preserve"> </w:t>
      </w:r>
      <w:r>
        <w:rPr>
          <w:rStyle w:val="VerbatimChar"/>
        </w:rPr>
        <w:t xml:space="preserve">--reactive_lig_frame_atom</w:t>
      </w:r>
      <w:r>
        <w:t xml:space="preserve">) define the reference frames; the gradient of</w:t>
      </w:r>
      <w:r>
        <w:t xml:space="preserve"> </w:t>
      </w:r>
      <m:oMath>
        <m:r>
          <m:rPr>
            <m:sty m:val="p"/>
          </m:rPr>
          <m:t>cos</m:t>
        </m:r>
        <m:r>
          <m:t>θ</m:t>
        </m:r>
      </m:oMath>
      <w:r>
        <w:t xml:space="preserve"> </w:t>
      </w:r>
      <w:r>
        <w:t xml:space="preserve">w.r.t. the ligand atom is</w:t>
      </w:r>
    </w:p>
    <w:p>
      <w:pPr>
        <w:pStyle w:val="BodyText"/>
      </w:pPr>
      <m:oMathPara>
        <m:oMathParaPr>
          <m:jc m:val="center"/>
        </m:oMathParaPr>
        <m:oMath>
          <m:f>
            <m:fPr>
              <m:type m:val="bar"/>
            </m:fPr>
            <m:num>
              <m:r>
                <m:rPr>
                  <m:sty m:val="p"/>
                </m:rPr>
                <m:t>∂</m:t>
              </m:r>
              <m:r>
                <m:rPr>
                  <m:sty m:val="p"/>
                </m:rPr>
                <m:t>cos</m:t>
              </m:r>
              <m:r>
                <m:t>θ</m:t>
              </m:r>
            </m:num>
            <m:den>
              <m:r>
                <m:rPr>
                  <m:sty m:val="p"/>
                </m:rPr>
                <m:t>∂</m:t>
              </m:r>
              <m:sSub>
                <m:e>
                  <m:acc>
                    <m:accPr>
                      <m:chr m:val="⃗"/>
                    </m:accPr>
                    <m:e>
                      <m:r>
                        <m:t>r</m:t>
                      </m:r>
                    </m:e>
                  </m:acc>
                </m:e>
                <m:sub>
                  <m:r>
                    <m:rPr>
                      <m:nor/>
                      <m:sty m:val="p"/>
                    </m:rPr>
                    <m:t>lig</m:t>
                  </m:r>
                </m:sub>
              </m:sSub>
            </m:den>
          </m:f>
          <m:r>
            <m:rPr>
              <m:sty m:val="p"/>
            </m:rPr>
            <m:t>=</m:t>
          </m:r>
          <m:f>
            <m:fPr>
              <m:type m:val="bar"/>
            </m:fPr>
            <m:num>
              <m:r>
                <m:t>1</m:t>
              </m:r>
            </m:num>
            <m:den>
              <m:r>
                <m:rPr>
                  <m:sty m:val="p"/>
                </m:rPr>
                <m:t>|</m:t>
              </m:r>
              <m:acc>
                <m:accPr>
                  <m:chr m:val="⃗"/>
                </m:accPr>
                <m:e>
                  <m:r>
                    <m:t>u</m:t>
                  </m:r>
                </m:e>
              </m:acc>
              <m:r>
                <m:rPr>
                  <m:sty m:val="p"/>
                </m:rPr>
                <m:t>|</m:t>
              </m:r>
            </m:den>
          </m:f>
          <m:d>
            <m:dPr>
              <m:begChr m:val="("/>
              <m:sepChr m:val=""/>
              <m:endChr m:val=")"/>
              <m:grow/>
            </m:dPr>
            <m:e>
              <m:acc>
                <m:accPr>
                  <m:chr m:val="̂"/>
                </m:accPr>
                <m:e>
                  <m:r>
                    <m:t>v</m:t>
                  </m:r>
                </m:e>
              </m:acc>
              <m:r>
                <m:rPr>
                  <m:sty m:val="p"/>
                </m:rPr>
                <m:t>−</m:t>
              </m:r>
              <m:r>
                <m:rPr>
                  <m:sty m:val="p"/>
                </m:rPr>
                <m:t>cos</m:t>
              </m:r>
              <m:r>
                <m:t>θ</m:t>
              </m:r>
              <m:r>
                <m:t> </m:t>
              </m:r>
              <m:acc>
                <m:accPr>
                  <m:chr m:val="̂"/>
                </m:accPr>
                <m:e>
                  <m:r>
                    <m:t>u</m:t>
                  </m:r>
                </m:e>
              </m:acc>
            </m:e>
          </m:d>
          <m:r>
            <m:rPr>
              <m:sty m:val="p"/>
            </m:rPr>
            <m:t>.</m:t>
          </m:r>
        </m:oMath>
      </m:oMathPara>
    </w:p>
    <w:p>
      <w:pPr>
        <w:pStyle w:val="FirstParagraph"/>
      </w:pPr>
      <w:r>
        <w:t xml:space="preserve">A flat-bottom variant (`–reactive_angle_width &gt; 0$) zeroes the penalty within</w:t>
      </w:r>
      <w:r>
        <w:t xml:space="preserve"> </w:t>
      </w:r>
      <m:oMath>
        <m:sSub>
          <m:e>
            <m:r>
              <m:t>θ</m:t>
            </m:r>
          </m:e>
          <m:sub>
            <m:r>
              <m:t>0</m:t>
            </m:r>
          </m:sub>
        </m:sSub>
        <m:r>
          <m:rPr>
            <m:sty m:val="p"/>
          </m:rPr>
          <m:t>±</m:t>
        </m:r>
        <m:r>
          <m:t>w</m:t>
        </m:r>
      </m:oMath>
      <w:r>
        <w:t xml:space="preserve">, avoiding premature locking of the search onto a harmonic well.</w:t>
      </w:r>
    </w:p>
    <w:p>
      <w:pPr>
        <w:pStyle w:val="BodyText"/>
      </w:pPr>
      <w:r>
        <w:rPr>
          <w:b/>
          <w:bCs/>
        </w:rPr>
        <w:t xml:space="preserve">P3, frame-atom torsion support.</w:t>
      </w:r>
      <w:r>
        <w:t xml:space="preserve"> </w:t>
      </w:r>
      <w:r>
        <w:t xml:space="preserve">Frame atoms extend P2 to fully define the nucleophilic trajectory in three dimensions (both receptor- and ligand-side frames).</w:t>
      </w:r>
    </w:p>
    <w:p>
      <w:pPr>
        <w:pStyle w:val="BodyText"/>
      </w:pPr>
      <w:r>
        <w:rPr>
          <w:b/>
          <w:bCs/>
        </w:rPr>
        <w:t xml:space="preserve">P4, hybrid vdW scaling.</w:t>
      </w:r>
      <w:r>
        <w:t xml:space="preserve"> </w:t>
      </w:r>
      <w:r>
        <w:t xml:space="preserve">In</w:t>
      </w:r>
      <w:r>
        <w:t xml:space="preserve"> </w:t>
      </w:r>
      <w:r>
        <w:rPr>
          <w:rStyle w:val="VerbatimChar"/>
        </w:rPr>
        <w:t xml:space="preserve">hybrid</w:t>
      </w:r>
      <w:r>
        <w:t xml:space="preserve"> </w:t>
      </w:r>
      <w:r>
        <w:t xml:space="preserve">mode the repulsive part of the receptor–ligand vdW interaction is scaled by</w:t>
      </w:r>
      <w:r>
        <w:t xml:space="preserve"> </w:t>
      </w:r>
      <m:oMath>
        <m:r>
          <m:t>λ</m:t>
        </m:r>
        <m:r>
          <m:rPr>
            <m:sty m:val="p"/>
          </m:rPr>
          <m:t>∈</m:t>
        </m:r>
        <m:r>
          <m:rPr>
            <m:sty m:val="p"/>
          </m:rPr>
          <m:t>[</m:t>
        </m:r>
        <m:r>
          <m:t>0</m:t>
        </m:r>
        <m:r>
          <m:rPr>
            <m:sty m:val="p"/>
          </m:rPr>
          <m:t>,</m:t>
        </m:r>
        <m:r>
          <m:t>1</m:t>
        </m:r>
        <m:r>
          <m:rPr>
            <m:sty m:val="p"/>
          </m:rPr>
          <m:t>]</m:t>
        </m:r>
      </m:oMath>
      <w:r>
        <w:t xml:space="preserve"> </w:t>
      </w:r>
      <w:r>
        <w:t xml:space="preserve">(</w:t>
      </w:r>
      <w:r>
        <w:rPr>
          <w:rStyle w:val="VerbatimChar"/>
        </w:rPr>
        <w:t xml:space="preserve">--reactive_hybrid_vdw_scale</w:t>
      </w:r>
      <w:r>
        <w:t xml:space="preserve">):</w:t>
      </w:r>
    </w:p>
    <w:p>
      <w:pPr>
        <w:pStyle w:val="BodyText"/>
      </w:pPr>
      <m:oMathPara>
        <m:oMathParaPr>
          <m:jc m:val="center"/>
        </m:oMathParaPr>
        <m:oMath>
          <m:sSubSup>
            <m:e>
              <m:r>
                <m:t>E</m:t>
              </m:r>
            </m:e>
            <m:sub>
              <m:r>
                <m:rPr>
                  <m:nor/>
                  <m:sty m:val="p"/>
                </m:rPr>
                <m:t>vdW</m:t>
              </m:r>
            </m:sub>
            <m:sup>
              <m:r>
                <m:rPr>
                  <m:nor/>
                  <m:sty m:val="p"/>
                </m:rPr>
                <m:t>hybrid</m:t>
              </m:r>
            </m:sup>
          </m:sSubSup>
          <m:r>
            <m:rPr>
              <m:sty m:val="p"/>
            </m:rPr>
            <m:t>=</m:t>
          </m:r>
          <m:r>
            <m:t>λ</m:t>
          </m:r>
          <m:r>
            <m:t> </m:t>
          </m:r>
          <m:sSubSup>
            <m:e>
              <m:r>
                <m:t>E</m:t>
              </m:r>
            </m:e>
            <m:sub>
              <m:r>
                <m:rPr>
                  <m:nor/>
                  <m:sty m:val="p"/>
                </m:rPr>
                <m:t>vdW</m:t>
              </m:r>
            </m:sub>
            <m:sup>
              <m:r>
                <m:rPr>
                  <m:nor/>
                  <m:sty m:val="p"/>
                </m:rPr>
                <m:t>repulsive</m:t>
              </m:r>
            </m:sup>
          </m:sSubSup>
          <m:r>
            <m:rPr>
              <m:sty m:val="p"/>
            </m:rPr>
            <m:t>,</m:t>
          </m:r>
        </m:oMath>
      </m:oMathPara>
    </w:p>
    <w:p>
      <w:pPr>
        <w:pStyle w:val="FirstParagraph"/>
      </w:pPr>
      <w:r>
        <w:t xml:space="preserve">allowing the ligand to enter the repulsive zone and sample transition-state-like geometries. The hybrid energy is smooth in</w:t>
      </w:r>
      <w:r>
        <w:t xml:space="preserve"> </w:t>
      </w:r>
      <m:oMath>
        <m:r>
          <m:t>λ</m:t>
        </m:r>
      </m:oMath>
      <w:r>
        <w:t xml:space="preserve"> </w:t>
      </w:r>
      <w:r>
        <w:t xml:space="preserve">(continuous scaling verified by regression test E and by the measured λ-sweep in Section 3.2.2: cys_michael −10.09 → −5.716 → −4.734 kcal/mol at λ = 0/0.5/1.0).</w:t>
      </w:r>
    </w:p>
    <w:p>
      <w:pPr>
        <w:pStyle w:val="BodyText"/>
      </w:pPr>
      <w:r>
        <w:rPr>
          <w:b/>
          <w:bCs/>
        </w:rPr>
        <w:t xml:space="preserve">NAC detection.</w:t>
      </w:r>
      <w:r>
        <w:t xml:space="preserve"> </w:t>
      </w:r>
      <w:r>
        <w:t xml:space="preserve">After docking, each output pose receives</w:t>
      </w:r>
      <w:r>
        <w:t xml:space="preserve"> </w:t>
      </w:r>
      <w:r>
        <w:rPr>
          <w:rStyle w:val="VerbatimChar"/>
        </w:rPr>
        <w:t xml:space="preserve">REMARK REACTIVE_NAC: YES/NO</w:t>
      </w:r>
      <w:r>
        <w:t xml:space="preserve">, defined by a reactive distance &lt; 3.0 Å</w:t>
      </w:r>
      <w:r>
        <w:t xml:space="preserve"> </w:t>
      </w:r>
      <w:r>
        <w:rPr>
          <w:i/>
          <w:iCs/>
        </w:rPr>
        <w:t xml:space="preserve">and</w:t>
      </w:r>
      <w:r>
        <w:t xml:space="preserve"> </w:t>
      </w:r>
      <w:r>
        <w:t xml:space="preserve">an attack angle within the target ±25° window. A finite-difference gradient check (central difference, step ε = 10⁻⁴ Å) confirms the analytical reactive gradients on all six presets: maximum |analytic − numeric| deviation 2.4×10⁻¹⁶–4.3×10⁻⁸ across distance- and angle-force components (Section 3.2.2;</w:t>
      </w:r>
      <w:r>
        <w:t xml:space="preserve"> </w:t>
      </w:r>
      <w:r>
        <w:rPr>
          <w:rStyle w:val="VerbatimChar"/>
        </w:rPr>
        <w:t xml:space="preserve">--reactive_gradcheck</w:t>
      </w:r>
      <w:r>
        <w:t xml:space="preserve">).</w:t>
      </w:r>
    </w:p>
    <w:bookmarkEnd w:id="26"/>
    <w:bookmarkStart w:id="27" w:name="X66ddf034433cce708629a1b70bb8df4883996a2"/>
    <w:p>
      <w:pPr>
        <w:pStyle w:val="Heading3"/>
      </w:pPr>
      <w:r>
        <w:t xml:space="preserve">2.10 C3 two-phase strategy, reaction presets, and Metal Bias</w:t>
      </w:r>
    </w:p>
    <w:p>
      <w:pPr>
        <w:pStyle w:val="FirstParagraph"/>
      </w:pPr>
      <w:r>
        <w:t xml:space="preserve">Applying the full constraint set throughout the search can trap the ligand near the receptor and under-sample the global energy landscape. LKina therefore offers the</w:t>
      </w:r>
      <w:r>
        <w:t xml:space="preserve"> </w:t>
      </w:r>
      <w:r>
        <w:rPr>
          <w:b/>
          <w:bCs/>
        </w:rPr>
        <w:t xml:space="preserve">C3 two-phase strategy</w:t>
      </w:r>
      <w:r>
        <w:t xml:space="preserve"> </w:t>
      </w:r>
      <w:r>
        <w:t xml:space="preserve">(</w:t>
      </w:r>
      <w:r>
        <w:rPr>
          <w:rStyle w:val="VerbatimChar"/>
        </w:rPr>
        <w:t xml:space="preserve">--reactive_two_step</w:t>
      </w:r>
      <w:r>
        <w:t xml:space="preserve">):</w:t>
      </w:r>
    </w:p>
    <w:p>
      <w:pPr>
        <w:pStyle w:val="Compact"/>
        <w:numPr>
          <w:ilvl w:val="0"/>
          <w:numId w:val="1007"/>
        </w:numPr>
      </w:pPr>
      <w:r>
        <w:rPr>
          <w:b/>
          <w:bCs/>
        </w:rPr>
        <w:t xml:space="preserve">Phase 1</w:t>
      </w:r>
      <w:r>
        <w:t xml:space="preserve">, a standard unconstrained Vina MC + L-BFGS search (or, in the C3b variant, a broad/weak Gaussian with</w:t>
      </w:r>
      <w:r>
        <w:t xml:space="preserve"> </w:t>
      </w:r>
      <m:oMath>
        <m:r>
          <m:t>σ</m:t>
        </m:r>
        <m:r>
          <m:rPr>
            <m:sty m:val="p"/>
          </m:rPr>
          <m:t>×</m:t>
        </m:r>
        <m:r>
          <m:t>3</m:t>
        </m:r>
      </m:oMath>
      <w:r>
        <w:t xml:space="preserve">,</w:t>
      </w:r>
      <w:r>
        <w:t xml:space="preserve"> </w:t>
      </w:r>
      <m:oMath>
        <m:r>
          <m:t>ε</m:t>
        </m:r>
        <m:r>
          <m:rPr>
            <m:sty m:val="p"/>
          </m:rPr>
          <m:t>×</m:t>
        </m:r>
        <m:r>
          <m:t>0.15</m:t>
        </m:r>
      </m:oMath>
      <w:r>
        <w:t xml:space="preserve"> </w:t>
      </w:r>
      <w:r>
        <w:t xml:space="preserve">acting as an</w:t>
      </w:r>
      <w:r>
        <w:t xml:space="preserve"> </w:t>
      </w:r>
      <w:r>
        <w:t xml:space="preserve">“attracting cavity”</w:t>
      </w:r>
      <w:r>
        <w:t xml:space="preserve"> </w:t>
      </w:r>
      <w:r>
        <w:t xml:space="preserve">prior);</w:t>
      </w:r>
    </w:p>
    <w:p>
      <w:pPr>
        <w:pStyle w:val="Compact"/>
        <w:numPr>
          <w:ilvl w:val="0"/>
          <w:numId w:val="1007"/>
        </w:numPr>
      </w:pPr>
      <w:r>
        <w:rPr>
          <w:b/>
          <w:bCs/>
        </w:rPr>
        <w:t xml:space="preserve">Pose filtering</w:t>
      </w:r>
      <w:r>
        <w:t xml:space="preserve">, poses whose reactive atom lies within</w:t>
      </w:r>
      <w:r>
        <w:t xml:space="preserve"> </w:t>
      </w:r>
      <w:r>
        <w:rPr>
          <w:rStyle w:val="VerbatimChar"/>
        </w:rPr>
        <w:t xml:space="preserve">--reactive_presample_dist</w:t>
      </w:r>
      <w:r>
        <w:t xml:space="preserve"> </w:t>
      </w:r>
      <w:r>
        <w:t xml:space="preserve">(default 10 Å) of the anchor are kept;</w:t>
      </w:r>
    </w:p>
    <w:p>
      <w:pPr>
        <w:pStyle w:val="Compact"/>
        <w:numPr>
          <w:ilvl w:val="0"/>
          <w:numId w:val="1007"/>
        </w:numPr>
      </w:pPr>
      <w:r>
        <w:rPr>
          <w:b/>
          <w:bCs/>
        </w:rPr>
        <w:t xml:space="preserve">Phase 2</w:t>
      </w:r>
      <w:r>
        <w:t xml:space="preserve">, surviving poses are refined with the full P1–P4 constraint set via L-BFGS.</w:t>
      </w:r>
    </w:p>
    <w:p>
      <w:pPr>
        <w:pStyle w:val="FirstParagraph"/>
      </w:pPr>
      <w:r>
        <w:t xml:space="preserve">Six built-in</w:t>
      </w:r>
      <w:r>
        <w:t xml:space="preserve"> </w:t>
      </w:r>
      <w:r>
        <w:rPr>
          <w:b/>
          <w:bCs/>
        </w:rPr>
        <w:t xml:space="preserve">reaction presets</w:t>
      </w:r>
      <w:r>
        <w:t xml:space="preserve"> </w:t>
      </w:r>
      <w:r>
        <w:t xml:space="preserve">auto-fill all reactive parameters (individual CLI flags override the preset):</w:t>
      </w:r>
    </w:p>
    <w:p>
      <w:pPr>
        <w:pStyle w:val="BodyText"/>
      </w:pPr>
      <w:r>
        <w:rPr>
          <w:b/>
          <w:bCs/>
        </w:rPr>
        <w:t xml:space="preserve">Table 4.</w:t>
      </w:r>
      <w:r>
        <w:t xml:space="preserve"> </w:t>
      </w:r>
      <w:r>
        <w:t xml:space="preserve">Geometry parameters of the six built-in reaction presets.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Preset</w:t>
            </w:r>
          </w:p>
        </w:tc>
        <w:tc>
          <w:tcPr/>
          <w:p>
            <w:pPr>
              <w:pStyle w:val="Compact"/>
            </w:pPr>
            <w:r>
              <w:t xml:space="preserve">Reaction</w:t>
            </w:r>
          </w:p>
        </w:tc>
        <w:tc>
          <w:tcPr/>
          <w:p>
            <w:pPr>
              <w:pStyle w:val="Compact"/>
            </w:pPr>
            <m:oMath>
              <m:sSub>
                <m:e>
                  <m:r>
                    <m:t>r</m:t>
                  </m:r>
                </m:e>
                <m:sub>
                  <m:r>
                    <m:t>0</m:t>
                  </m:r>
                </m:sub>
              </m:sSub>
            </m:oMath>
            <w:r>
              <w:t xml:space="preserve"> </w:t>
            </w:r>
            <w:r>
              <w:t xml:space="preserve">(Å)</w:t>
            </w:r>
          </w:p>
        </w:tc>
        <w:tc>
          <w:tcPr/>
          <w:p>
            <w:pPr>
              <w:pStyle w:val="Compact"/>
            </w:pPr>
            <m:oMath>
              <m:sSub>
                <m:e>
                  <m:r>
                    <m:t>θ</m:t>
                  </m:r>
                </m:e>
                <m:sub>
                  <m:r>
                    <m:t>0</m:t>
                  </m:r>
                </m:sub>
              </m:sSub>
            </m:oMath>
            <w:r>
              <w:t xml:space="preserve"> </w:t>
            </w:r>
            <w:r>
              <w:t xml:space="preserve">(°)</w:t>
            </w:r>
          </w:p>
        </w:tc>
        <w:tc>
          <w:tcPr/>
          <w:p>
            <w:pPr>
              <w:pStyle w:val="Compact"/>
            </w:pPr>
            <m:oMath>
              <m:r>
                <m:t>w</m:t>
              </m:r>
            </m:oMath>
            <w:r>
              <w:t xml:space="preserve"> </w:t>
            </w:r>
            <w:r>
              <w:t xml:space="preserve">(°)</w:t>
            </w:r>
          </w:p>
        </w:tc>
        <w:tc>
          <w:tcPr/>
          <w:p>
            <w:pPr>
              <w:pStyle w:val="Compact"/>
            </w:pPr>
            <m:oMath>
              <m:r>
                <m:t>λ</m:t>
              </m:r>
            </m:oMath>
          </w:p>
        </w:tc>
      </w:tr>
      <w:tr>
        <w:tc>
          <w:tcPr/>
          <w:p>
            <w:pPr>
              <w:pStyle w:val="Compact"/>
            </w:pPr>
            <w:r>
              <w:rPr>
                <w:rStyle w:val="VerbatimChar"/>
              </w:rPr>
              <w:t xml:space="preserve">cys_michael</w:t>
            </w:r>
          </w:p>
        </w:tc>
        <w:tc>
          <w:tcPr/>
          <w:p>
            <w:pPr>
              <w:pStyle w:val="Compact"/>
            </w:pPr>
            <w:r>
              <w:t xml:space="preserve">Cys SG Michael addition (C=C warhead)</w:t>
            </w:r>
          </w:p>
        </w:tc>
        <w:tc>
          <w:tcPr/>
          <w:p>
            <w:pPr>
              <w:pStyle w:val="Compact"/>
            </w:pPr>
            <w:r>
              <w:t xml:space="preserve">1.82</w:t>
            </w:r>
          </w:p>
        </w:tc>
        <w:tc>
          <w:tcPr/>
          <w:p>
            <w:pPr>
              <w:pStyle w:val="Compact"/>
            </w:pPr>
            <w:r>
              <w:t xml:space="preserve">109.5</w:t>
            </w:r>
          </w:p>
        </w:tc>
        <w:tc>
          <w:tcPr/>
          <w:p>
            <w:pPr>
              <w:pStyle w:val="Compact"/>
            </w:pPr>
            <w:r>
              <w:t xml:space="preserve">25</w:t>
            </w:r>
          </w:p>
        </w:tc>
        <w:tc>
          <w:tcPr/>
          <w:p>
            <w:pPr>
              <w:pStyle w:val="Compact"/>
            </w:pPr>
            <w:r>
              <w:t xml:space="preserve">0.2</w:t>
            </w:r>
          </w:p>
        </w:tc>
      </w:tr>
      <w:tr>
        <w:tc>
          <w:tcPr/>
          <w:p>
            <w:pPr>
              <w:pStyle w:val="Compact"/>
            </w:pPr>
            <w:r>
              <w:rPr>
                <w:rStyle w:val="VerbatimChar"/>
              </w:rPr>
              <w:t xml:space="preserve">cys_sn2</w:t>
            </w:r>
          </w:p>
        </w:tc>
        <w:tc>
          <w:tcPr/>
          <w:p>
            <w:pPr>
              <w:pStyle w:val="Compact"/>
            </w:pPr>
            <w:r>
              <w:t xml:space="preserve">Cys SG SN2 substitution (180° backside)</w:t>
            </w:r>
          </w:p>
        </w:tc>
        <w:tc>
          <w:tcPr/>
          <w:p>
            <w:pPr>
              <w:pStyle w:val="Compact"/>
            </w:pPr>
            <w:r>
              <w:t xml:space="preserve">1.82</w:t>
            </w:r>
          </w:p>
        </w:tc>
        <w:tc>
          <w:tcPr/>
          <w:p>
            <w:pPr>
              <w:pStyle w:val="Compact"/>
            </w:pPr>
            <w:r>
              <w:t xml:space="preserve">180.0</w:t>
            </w:r>
          </w:p>
        </w:tc>
        <w:tc>
          <w:tcPr/>
          <w:p>
            <w:pPr>
              <w:pStyle w:val="Compact"/>
            </w:pPr>
            <w:r>
              <w:t xml:space="preserve">15</w:t>
            </w:r>
          </w:p>
        </w:tc>
        <w:tc>
          <w:tcPr/>
          <w:p>
            <w:pPr>
              <w:pStyle w:val="Compact"/>
            </w:pPr>
            <w:r>
              <w:t xml:space="preserve">0.2</w:t>
            </w:r>
          </w:p>
        </w:tc>
      </w:tr>
      <w:tr>
        <w:tc>
          <w:tcPr/>
          <w:p>
            <w:pPr>
              <w:pStyle w:val="Compact"/>
            </w:pPr>
            <w:r>
              <w:rPr>
                <w:rStyle w:val="VerbatimChar"/>
              </w:rPr>
              <w:t xml:space="preserve">ser_covalent</w:t>
            </w:r>
          </w:p>
        </w:tc>
        <w:tc>
          <w:tcPr/>
          <w:p>
            <w:pPr>
              <w:pStyle w:val="Compact"/>
            </w:pPr>
            <w:r>
              <w:t xml:space="preserve">Ser OG acylation (β-lactams)</w:t>
            </w:r>
          </w:p>
        </w:tc>
        <w:tc>
          <w:tcPr/>
          <w:p>
            <w:pPr>
              <w:pStyle w:val="Compact"/>
            </w:pPr>
            <w:r>
              <w:t xml:space="preserve">1.34</w:t>
            </w:r>
          </w:p>
        </w:tc>
        <w:tc>
          <w:tcPr/>
          <w:p>
            <w:pPr>
              <w:pStyle w:val="Compact"/>
            </w:pPr>
            <w:r>
              <w:t xml:space="preserve">109.5</w:t>
            </w:r>
          </w:p>
        </w:tc>
        <w:tc>
          <w:tcPr/>
          <w:p>
            <w:pPr>
              <w:pStyle w:val="Compact"/>
            </w:pPr>
            <w:r>
              <w:t xml:space="preserve">25</w:t>
            </w:r>
          </w:p>
        </w:tc>
        <w:tc>
          <w:tcPr/>
          <w:p>
            <w:pPr>
              <w:pStyle w:val="Compact"/>
            </w:pPr>
            <w:r>
              <w:t xml:space="preserve">0.2</w:t>
            </w:r>
          </w:p>
        </w:tc>
      </w:tr>
      <w:tr>
        <w:tc>
          <w:tcPr/>
          <w:p>
            <w:pPr>
              <w:pStyle w:val="Compact"/>
            </w:pPr>
            <w:r>
              <w:rPr>
                <w:rStyle w:val="VerbatimChar"/>
              </w:rPr>
              <w:t xml:space="preserve">lys_targeting</w:t>
            </w:r>
          </w:p>
        </w:tc>
        <w:tc>
          <w:tcPr/>
          <w:p>
            <w:pPr>
              <w:pStyle w:val="Compact"/>
            </w:pPr>
            <w:r>
              <w:t xml:space="preserve">Lys NZ Schiff base (aldehyde warhead)</w:t>
            </w:r>
          </w:p>
        </w:tc>
        <w:tc>
          <w:tcPr/>
          <w:p>
            <w:pPr>
              <w:pStyle w:val="Compact"/>
            </w:pPr>
            <w:r>
              <w:t xml:space="preserve">1.47</w:t>
            </w:r>
          </w:p>
        </w:tc>
        <w:tc>
          <w:tcPr/>
          <w:p>
            <w:pPr>
              <w:pStyle w:val="Compact"/>
            </w:pPr>
            <w:r>
              <w:t xml:space="preserve">109.5</w:t>
            </w:r>
          </w:p>
        </w:tc>
        <w:tc>
          <w:tcPr/>
          <w:p>
            <w:pPr>
              <w:pStyle w:val="Compact"/>
            </w:pPr>
            <w:r>
              <w:t xml:space="preserve">30</w:t>
            </w:r>
          </w:p>
        </w:tc>
        <w:tc>
          <w:tcPr/>
          <w:p>
            <w:pPr>
              <w:pStyle w:val="Compact"/>
            </w:pPr>
            <w:r>
              <w:t xml:space="preserve">0.3</w:t>
            </w:r>
          </w:p>
        </w:tc>
      </w:tr>
      <w:tr>
        <w:tc>
          <w:tcPr/>
          <w:p>
            <w:pPr>
              <w:pStyle w:val="Compact"/>
            </w:pPr>
            <w:r>
              <w:rPr>
                <w:rStyle w:val="VerbatimChar"/>
              </w:rPr>
              <w:t xml:space="preserve">boronic_acid</w:t>
            </w:r>
          </w:p>
        </w:tc>
        <w:tc>
          <w:tcPr/>
          <w:p>
            <w:pPr>
              <w:pStyle w:val="Compact"/>
            </w:pPr>
            <w:r>
              <w:t xml:space="preserve">reversible boronate (Ser/Thr/Tyr OH)</w:t>
            </w:r>
          </w:p>
        </w:tc>
        <w:tc>
          <w:tcPr/>
          <w:p>
            <w:pPr>
              <w:pStyle w:val="Compact"/>
            </w:pPr>
            <w:r>
              <w:t xml:space="preserve">1.47</w:t>
            </w:r>
          </w:p>
        </w:tc>
        <w:tc>
          <w:tcPr/>
          <w:p>
            <w:pPr>
              <w:pStyle w:val="Compact"/>
            </w:pPr>
            <w:r>
              <w:t xml:space="preserve">—</w:t>
            </w:r>
          </w:p>
        </w:tc>
        <w:tc>
          <w:tcPr/>
          <w:p>
            <w:pPr>
              <w:pStyle w:val="Compact"/>
            </w:pPr>
            <w:r>
              <w:t xml:space="preserve">—</w:t>
            </w:r>
          </w:p>
        </w:tc>
        <w:tc>
          <w:tcPr/>
          <w:p>
            <w:pPr>
              <w:pStyle w:val="Compact"/>
            </w:pPr>
            <w:r>
              <w:t xml:space="preserve">0.5</w:t>
            </w:r>
          </w:p>
        </w:tc>
      </w:tr>
      <w:tr>
        <w:tc>
          <w:tcPr/>
          <w:p>
            <w:pPr>
              <w:pStyle w:val="Compact"/>
            </w:pPr>
            <w:r>
              <w:rPr>
                <w:rStyle w:val="VerbatimChar"/>
              </w:rPr>
              <w:t xml:space="preserve">tyr_covalent</w:t>
            </w:r>
          </w:p>
        </w:tc>
        <w:tc>
          <w:tcPr/>
          <w:p>
            <w:pPr>
              <w:pStyle w:val="Compact"/>
            </w:pPr>
            <w:r>
              <w:t xml:space="preserve">Tyr OH nucleophilic attack</w:t>
            </w:r>
          </w:p>
        </w:tc>
        <w:tc>
          <w:tcPr/>
          <w:p>
            <w:pPr>
              <w:pStyle w:val="Compact"/>
            </w:pPr>
            <w:r>
              <w:t xml:space="preserve">1.38</w:t>
            </w:r>
          </w:p>
        </w:tc>
        <w:tc>
          <w:tcPr/>
          <w:p>
            <w:pPr>
              <w:pStyle w:val="Compact"/>
            </w:pPr>
            <w:r>
              <w:t xml:space="preserve">109.5</w:t>
            </w:r>
          </w:p>
        </w:tc>
        <w:tc>
          <w:tcPr/>
          <w:p>
            <w:pPr>
              <w:pStyle w:val="Compact"/>
            </w:pPr>
            <w:r>
              <w:t xml:space="preserve">25</w:t>
            </w:r>
          </w:p>
        </w:tc>
        <w:tc>
          <w:tcPr/>
          <w:p>
            <w:pPr>
              <w:pStyle w:val="Compact"/>
            </w:pPr>
            <w:r>
              <w:t xml:space="preserve">0.2</w:t>
            </w:r>
          </w:p>
        </w:tc>
      </w:tr>
    </w:tbl>
    <w:p>
      <w:pPr>
        <w:pStyle w:val="BodyText"/>
      </w:pPr>
      <w:r>
        <w:t xml:space="preserve">Finally,</w:t>
      </w:r>
      <w:r>
        <w:t xml:space="preserve"> </w:t>
      </w:r>
      <w:r>
        <w:rPr>
          <w:b/>
          <w:bCs/>
        </w:rPr>
        <w:t xml:space="preserve">Metal Bias (O5)</w:t>
      </w:r>
      <w:r>
        <w:t xml:space="preserve"> </w:t>
      </w:r>
      <w:r>
        <w:t xml:space="preserve">(</w:t>
      </w:r>
      <w:r>
        <w:rPr>
          <w:rStyle w:val="VerbatimChar"/>
        </w:rPr>
        <w:t xml:space="preserve">--metal_bias</w:t>
      </w:r>
      <w:r>
        <w:t xml:space="preserve">) automatically locates the first metal atom in the receptor and injects a soft Gaussian attractor,</w:t>
      </w:r>
      <w:r>
        <w:t xml:space="preserve"> </w:t>
      </w:r>
      <m:oMath>
        <m:sSub>
          <m:e>
            <m:r>
              <m:t>E</m:t>
            </m:r>
          </m:e>
          <m:sub>
            <m:r>
              <m:rPr>
                <m:nor/>
                <m:sty m:val="p"/>
              </m:rPr>
              <m:t>bias</m:t>
            </m:r>
          </m:sub>
        </m:sSub>
        <m:r>
          <m:rPr>
            <m:sty m:val="p"/>
          </m:rPr>
          <m:t>=</m:t>
        </m:r>
        <m:r>
          <m:rPr>
            <m:sty m:val="p"/>
          </m:rPr>
          <m:t>−</m:t>
        </m:r>
        <m:r>
          <m:t>A</m:t>
        </m:r>
        <m:r>
          <m:rPr>
            <m:sty m:val="p"/>
          </m:rPr>
          <m:t>exp</m:t>
        </m:r>
        <m:r>
          <m:rPr>
            <m:sty m:val="p"/>
          </m:rPr>
          <m:t>(</m:t>
        </m:r>
        <m:r>
          <m:rPr>
            <m:sty m:val="p"/>
          </m:rPr>
          <m:t>−</m:t>
        </m:r>
        <m:sSup>
          <m:e>
            <m:r>
              <m:t>r</m:t>
            </m:r>
          </m:e>
          <m:sup>
            <m:r>
              <m:t>2</m:t>
            </m:r>
          </m:sup>
        </m:sSup>
        <m:r>
          <m:rPr>
            <m:sty m:val="p"/>
          </m:rPr>
          <m:t>/</m:t>
        </m:r>
        <m:r>
          <m:t>2</m:t>
        </m:r>
        <m:sSup>
          <m:e>
            <m:r>
              <m:t>σ</m:t>
            </m:r>
          </m:e>
          <m:sup>
            <m:r>
              <m:t>2</m:t>
            </m:r>
          </m:sup>
        </m:sSup>
        <m:r>
          <m:rPr>
            <m:sty m:val="p"/>
          </m:rPr>
          <m:t>)</m:t>
        </m:r>
      </m:oMath>
      <w:r>
        <w:t xml:space="preserve"> </w:t>
      </w:r>
      <w:r>
        <w:t xml:space="preserve">with</w:t>
      </w:r>
      <w:r>
        <w:t xml:space="preserve"> </w:t>
      </w:r>
      <m:oMath>
        <m:r>
          <m:t>A</m:t>
        </m:r>
        <m:r>
          <m:rPr>
            <m:sty m:val="p"/>
          </m:rPr>
          <m:t>=</m:t>
        </m:r>
        <m:r>
          <m:t>2.0</m:t>
        </m:r>
      </m:oMath>
      <w:r>
        <w:t xml:space="preserve"> </w:t>
      </w:r>
      <w:r>
        <w:t xml:space="preserve">kcal/mol and</w:t>
      </w:r>
      <w:r>
        <w:t xml:space="preserve"> </w:t>
      </w:r>
      <m:oMath>
        <m:r>
          <m:t>σ</m:t>
        </m:r>
        <m:r>
          <m:rPr>
            <m:sty m:val="p"/>
          </m:rPr>
          <m:t>=</m:t>
        </m:r>
        <m:r>
          <m:t>1.5</m:t>
        </m:r>
      </m:oMath>
      <w:r>
        <w:t xml:space="preserve"> </w:t>
      </w:r>
      <w:r>
        <w:t xml:space="preserve">Å, a light directional prior suited to rapid metalloenzyme screening that leaves Vina’s global search intact; it is mutually exclusive with reactive mode.</w:t>
      </w:r>
    </w:p>
    <w:bookmarkEnd w:id="27"/>
    <w:bookmarkStart w:id="28" w:name="X14004d39fb26f27c389a409e7fbdcda8626b3b7"/>
    <w:p>
      <w:pPr>
        <w:pStyle w:val="Heading3"/>
      </w:pPr>
      <w:r>
        <w:t xml:space="preserve">2.11 Implementation, licensing, and engineering notes</w:t>
      </w:r>
    </w:p>
    <w:p>
      <w:pPr>
        <w:pStyle w:val="FirstParagraph"/>
      </w:pPr>
      <w:r>
        <w:t xml:space="preserve">LKina extends the Vina 1.2.7 C++14 code base as a set of new modules plus targeted extensions to existing ones; the description below is organized by responsibility rather than by diff size. In the docking pipeline, the modules slot in as follows:</w:t>
      </w:r>
      <w:r>
        <w:t xml:space="preserve"> </w:t>
      </w:r>
      <w:r>
        <w:rPr>
          <w:b/>
          <w:bCs/>
        </w:rPr>
        <w:t xml:space="preserve">(1)</w:t>
      </w:r>
      <w:r>
        <w:t xml:space="preserve"> </w:t>
      </w:r>
      <w:r>
        <w:t xml:space="preserve">receptor/ligand parsing (</w:t>
      </w:r>
      <w:r>
        <w:rPr>
          <w:rStyle w:val="VerbatimChar"/>
        </w:rPr>
        <w:t xml:space="preserve">main.cpp</w:t>
      </w:r>
      <w:r>
        <w:t xml:space="preserve">) detects metal types and, when</w:t>
      </w:r>
      <w:r>
        <w:t xml:space="preserve"> </w:t>
      </w:r>
      <w:r>
        <w:rPr>
          <w:rStyle w:val="VerbatimChar"/>
        </w:rPr>
        <w:t xml:space="preserve">--metal_mode</w:t>
      </w:r>
      <w:r>
        <w:t xml:space="preserve"> </w:t>
      </w:r>
      <w:r>
        <w:t xml:space="preserve">is absent, runs BVS oxidation-state inference (Section 2.5);</w:t>
      </w:r>
      <w:r>
        <w:t xml:space="preserve"> </w:t>
      </w:r>
      <w:r>
        <w:rPr>
          <w:b/>
          <w:bCs/>
        </w:rPr>
        <w:t xml:space="preserve">(2)</w:t>
      </w:r>
      <w:r>
        <w:t xml:space="preserve"> </w:t>
      </w:r>
      <w:r>
        <w:t xml:space="preserve">the AG4 engine (</w:t>
      </w:r>
      <w:r>
        <w:rPr>
          <w:rStyle w:val="VerbatimChar"/>
        </w:rPr>
        <w:t xml:space="preserve">ag4_engine.{h,cpp}</w:t>
      </w:r>
      <w:r>
        <w:t xml:space="preserve">) enumerates active metal modes, injects coordination pseudoatoms and metal-pair</w:t>
      </w:r>
      <w:r>
        <w:t xml:space="preserve"> </w:t>
      </w:r>
      <w:r>
        <w:rPr>
          <w:rStyle w:val="VerbatimChar"/>
        </w:rPr>
        <w:t xml:space="preserve">nbp_r_eps</w:t>
      </w:r>
      <w:r>
        <w:t xml:space="preserve"> </w:t>
      </w:r>
      <w:r>
        <w:t xml:space="preserve">overrides, and computes affinity grids (</w:t>
      </w:r>
      <w:r>
        <w:rPr>
          <w:rStyle w:val="VerbatimChar"/>
        </w:rPr>
        <w:t xml:space="preserve">embedded_ad4_grid.cpp</w:t>
      </w:r>
      <w:r>
        <w:t xml:space="preserve">), replacing the external</w:t>
      </w:r>
      <w:r>
        <w:t xml:space="preserve"> </w:t>
      </w:r>
      <w:r>
        <w:rPr>
          <w:rStyle w:val="VerbatimChar"/>
        </w:rPr>
        <w:t xml:space="preserve">autogrid4</w:t>
      </w:r>
      <w:r>
        <w:t xml:space="preserve"> </w:t>
      </w:r>
      <w:r>
        <w:t xml:space="preserve">call;</w:t>
      </w:r>
      <w:r>
        <w:t xml:space="preserve"> </w:t>
      </w:r>
      <w:r>
        <w:rPr>
          <w:b/>
          <w:bCs/>
        </w:rPr>
        <w:t xml:space="preserve">(3)</w:t>
      </w:r>
      <w:r>
        <w:t xml:space="preserve"> </w:t>
      </w:r>
      <w:r>
        <w:t xml:space="preserve">the grid cache (</w:t>
      </w:r>
      <w:r>
        <w:rPr>
          <w:rStyle w:val="VerbatimChar"/>
        </w:rPr>
        <w:t xml:space="preserve">ad4cache.{h,cpp}</w:t>
      </w:r>
      <w:r>
        <w:t xml:space="preserve">) holds the metal state and the post-processing rerank terms (Section 2.7);</w:t>
      </w:r>
      <w:r>
        <w:t xml:space="preserve"> </w:t>
      </w:r>
      <w:r>
        <w:rPr>
          <w:b/>
          <w:bCs/>
        </w:rPr>
        <w:t xml:space="preserve">(4)</w:t>
      </w:r>
      <w:r>
        <w:t xml:space="preserve"> </w:t>
      </w:r>
      <w:r>
        <w:t xml:space="preserve">the reactive framework types (</w:t>
      </w:r>
      <w:r>
        <w:rPr>
          <w:rStyle w:val="VerbatimChar"/>
        </w:rPr>
        <w:t xml:space="preserve">reactive_types.h</w:t>
      </w:r>
      <w:r>
        <w:t xml:space="preserve">) and the CLI reactive flags add the P1–P4 constraint layer and NAC detection on top of the grid score (Sections 2.9–2.10); and</w:t>
      </w:r>
      <w:r>
        <w:t xml:space="preserve"> </w:t>
      </w:r>
      <w:r>
        <w:rPr>
          <w:b/>
          <w:bCs/>
        </w:rPr>
        <w:t xml:space="preserve">(5)</w:t>
      </w:r>
      <w:r>
        <w:t xml:space="preserve"> </w:t>
      </w:r>
      <w:r>
        <w:t xml:space="preserve">the search itself (Vina’s Monte Carlo + L-BFGS, OpenMP over poses) is inherited unchanged.</w:t>
      </w:r>
      <w:r>
        <w:t xml:space="preserve"> </w:t>
      </w:r>
      <w:r>
        <w:rPr>
          <w:rStyle w:val="VerbatimChar"/>
        </w:rPr>
        <w:t xml:space="preserve">atom_constants.h</w:t>
      </w:r>
      <w:r>
        <w:t xml:space="preserve"> </w:t>
      </w:r>
      <w:r>
        <w:t xml:space="preserve">and</w:t>
      </w:r>
      <w:r>
        <w:t xml:space="preserve"> </w:t>
      </w:r>
      <w:r>
        <w:rPr>
          <w:rStyle w:val="VerbatimChar"/>
        </w:rPr>
        <w:t xml:space="preserve">ad4_parameter_data.cpp</w:t>
      </w:r>
      <w:r>
        <w:t xml:space="preserve"> </w:t>
      </w:r>
      <w:r>
        <w:t xml:space="preserve">hold the 113-type table and the embedded force-field text parsed at run time. Pseudoatom injection happens during single-threaded receptor parsing, so no new thread-safety concerns arise.</w:t>
      </w:r>
    </w:p>
    <w:p>
      <w:pPr>
        <w:pStyle w:val="BodyText"/>
      </w:pPr>
      <w:r>
        <w:rPr>
          <w:b/>
          <w:bCs/>
        </w:rPr>
        <w:t xml:space="preserve">Compatibility.</w:t>
      </w:r>
      <w:r>
        <w:t xml:space="preserve"> </w:t>
      </w:r>
      <w:r>
        <w:t xml:space="preserve">LKina reads and writes standard Vina/AD4 PDBQT structures and AutoGrid 4.2-format</w:t>
      </w:r>
      <w:r>
        <w:t xml:space="preserve"> </w:t>
      </w:r>
      <w:r>
        <w:rPr>
          <w:rStyle w:val="VerbatimChar"/>
        </w:rPr>
        <w:t xml:space="preserve">.map</w:t>
      </w:r>
      <w:r>
        <w:t xml:space="preserve"> </w:t>
      </w:r>
      <w:r>
        <w:t xml:space="preserve">files (its own grids are byte-compatible for external reuse); Meeko- or Open-Babel-prepared ligand PDBQTs are accepted unchanged. All standard Vina 1.2.7 CLI flags are preserved (Section 2.12), and</w:t>
      </w:r>
      <w:r>
        <w:t xml:space="preserve"> </w:t>
      </w:r>
      <w:r>
        <w:rPr>
          <w:rStyle w:val="VerbatimChar"/>
        </w:rPr>
        <w:t xml:space="preserve">--scoring vina</w:t>
      </w:r>
      <w:r>
        <w:t xml:space="preserve">/</w:t>
      </w:r>
      <w:r>
        <w:rPr>
          <w:rStyle w:val="VerbatimChar"/>
        </w:rPr>
        <w:t xml:space="preserve">vinardo</w:t>
      </w:r>
      <w:r>
        <w:t xml:space="preserve"> </w:t>
      </w:r>
      <w:r>
        <w:t xml:space="preserve">remain available for backward-compatibility verification. There are no new Python bindings; scripted use goes through the CLI (as in all benchmark scripts of this work). Behavior for metal-free, non-reactive systems is numerically identical to Vina 1.2.7 (Section 3.5), so drop-in substitution within existing Vina workflows, including LKDock-style GUI integration, is supported; the one known packaging caveat is described below.</w:t>
      </w:r>
    </w:p>
    <w:p>
      <w:pPr>
        <w:pStyle w:val="BodyText"/>
      </w:pPr>
      <w:r>
        <w:rPr>
          <w:b/>
          <w:bCs/>
        </w:rPr>
        <w:t xml:space="preserve">Licensing.</w:t>
      </w:r>
      <w:r>
        <w:t xml:space="preserve"> </w:t>
      </w:r>
      <w:r>
        <w:t xml:space="preserve">LKina uses a dual-license structure: all Vina-origin files remain Apache-2.0, while the AG4 grid engine and its parameter data (</w:t>
      </w:r>
      <w:r>
        <w:rPr>
          <w:rStyle w:val="VerbatimChar"/>
        </w:rPr>
        <w:t xml:space="preserve">ag4_engine.*</w:t>
      </w:r>
      <w:r>
        <w:t xml:space="preserve">,</w:t>
      </w:r>
      <w:r>
        <w:t xml:space="preserve"> </w:t>
      </w:r>
      <w:r>
        <w:rPr>
          <w:rStyle w:val="VerbatimChar"/>
        </w:rPr>
        <w:t xml:space="preserve">embedded_ad4_grid.*</w:t>
      </w:r>
      <w:r>
        <w:t xml:space="preserve">,</w:t>
      </w:r>
      <w:r>
        <w:t xml:space="preserve"> </w:t>
      </w:r>
      <w:r>
        <w:rPr>
          <w:rStyle w:val="VerbatimChar"/>
        </w:rPr>
        <w:t xml:space="preserve">ad4_parameter_data.*</w:t>
      </w:r>
      <w:r>
        <w:t xml:space="preserve">) are GPL-3.0-or-later (independent reimplementation of the AutoGrid 4.2 function, itself GPL-2.0-or-later, © The Scripps Research Institute). Because the two components are statically linked, the combined LKina binary is distributed under GPL-3.0-or-later;</w:t>
      </w:r>
      <w:r>
        <w:t xml:space="preserve"> </w:t>
      </w:r>
      <w:r>
        <w:rPr>
          <w:rStyle w:val="VerbatimChar"/>
        </w:rPr>
        <w:t xml:space="preserve">COPYING</w:t>
      </w:r>
      <w:r>
        <w:t xml:space="preserve"> </w:t>
      </w:r>
      <w:r>
        <w:t xml:space="preserve">and</w:t>
      </w:r>
      <w:r>
        <w:t xml:space="preserve"> </w:t>
      </w:r>
      <w:r>
        <w:rPr>
          <w:rStyle w:val="VerbatimChar"/>
        </w:rPr>
        <w:t xml:space="preserve">NOTICE</w:t>
      </w:r>
      <w:r>
        <w:t xml:space="preserve"> </w:t>
      </w:r>
      <w:r>
        <w:t xml:space="preserve">document the file-level scope and upstream attribution.</w:t>
      </w:r>
    </w:p>
    <w:p>
      <w:pPr>
        <w:pStyle w:val="BodyText"/>
      </w:pPr>
      <w:r>
        <w:rPr>
          <w:b/>
          <w:bCs/>
        </w:rPr>
        <w:t xml:space="preserve">Engineering note on the Vina scoring mode.</w:t>
      </w:r>
      <w:r>
        <w:t xml:space="preserve"> </w:t>
      </w:r>
      <w:r>
        <w:t xml:space="preserve">During LKDock GUI-integration packaging (PyInstaller) testing, running LKina with</w:t>
      </w:r>
      <w:r>
        <w:t xml:space="preserve"> </w:t>
      </w:r>
      <w:r>
        <w:rPr>
          <w:rStyle w:val="VerbatimChar"/>
        </w:rPr>
        <w:t xml:space="preserve">--scoring vina</w:t>
      </w:r>
      <w:r>
        <w:t xml:space="preserve"> </w:t>
      </w:r>
      <w:r>
        <w:t xml:space="preserve">(the 32-type XS atom system) triggered a reproducible SIGABRT at output time for a broad class of ligands, including purely organic ones. Root-cause analysis (lldb) traced the failure to two issues: (i)</w:t>
      </w:r>
      <w:r>
        <w:t xml:space="preserve"> </w:t>
      </w:r>
      <w:r>
        <w:rPr>
          <w:rStyle w:val="VerbatimChar"/>
        </w:rPr>
        <w:t xml:space="preserve">XS_TYPE</w:t>
      </w:r>
      <w:r>
        <w:t xml:space="preserve"> </w:t>
      </w:r>
      <w:r>
        <w:t xml:space="preserve">cannot map the 117-type AD4 atom space (</w:t>
      </w:r>
      <w:r>
        <w:rPr>
          <w:rStyle w:val="VerbatimChar"/>
        </w:rPr>
        <w:t xml:space="preserve">VINA_CHECK</w:t>
      </w:r>
      <w:r>
        <w:t xml:space="preserve"> </w:t>
      </w:r>
      <w:r>
        <w:t xml:space="preserve">→</w:t>
      </w:r>
      <w:r>
        <w:t xml:space="preserve"> </w:t>
      </w:r>
      <w:r>
        <w:rPr>
          <w:rStyle w:val="VerbatimChar"/>
        </w:rPr>
        <w:t xml:space="preserve">internal_error</w:t>
      </w:r>
      <w:r>
        <w:t xml:space="preserve"> </w:t>
      </w:r>
      <w:r>
        <w:t xml:space="preserve">in release builds), and (ii) a pre-existing defect in</w:t>
      </w:r>
      <w:r>
        <w:t xml:space="preserve"> </w:t>
      </w:r>
      <w:r>
        <w:rPr>
          <w:rStyle w:val="VerbatimChar"/>
        </w:rPr>
        <w:t xml:space="preserve">Vina::~Vina()</w:t>
      </w:r>
      <w:r>
        <w:t xml:space="preserve"> </w:t>
      </w:r>
      <w:r>
        <w:t xml:space="preserve">that re-declares member variables as locals inside the function body, corrupting</w:t>
      </w:r>
      <w:r>
        <w:t xml:space="preserve"> </w:t>
      </w:r>
      <w:r>
        <w:rPr>
          <w:rStyle w:val="VerbatimChar"/>
        </w:rPr>
        <w:t xml:space="preserve">boost::ptr_vector</w:t>
      </w:r>
      <w:r>
        <w:t xml:space="preserve"> </w:t>
      </w:r>
      <w:r>
        <w:t xml:space="preserve">destruction. Rather than rewriting the upstream XS type system, a high-risk change touching</w:t>
      </w:r>
      <w:r>
        <w:t xml:space="preserve"> </w:t>
      </w:r>
      <w:r>
        <w:rPr>
          <w:rStyle w:val="VerbatimChar"/>
        </w:rPr>
        <w:t xml:space="preserve">precalculate</w:t>
      </w:r>
      <w:r>
        <w:t xml:space="preserve">,</w:t>
      </w:r>
      <w:r>
        <w:t xml:space="preserve"> </w:t>
      </w:r>
      <w:r>
        <w:rPr>
          <w:rStyle w:val="VerbatimChar"/>
        </w:rPr>
        <w:t xml:space="preserve">cache</w:t>
      </w:r>
      <w:r>
        <w:t xml:space="preserve">,</w:t>
      </w:r>
      <w:r>
        <w:t xml:space="preserve"> </w:t>
      </w:r>
      <w:r>
        <w:rPr>
          <w:rStyle w:val="VerbatimChar"/>
        </w:rPr>
        <w:t xml:space="preserve">non_cache</w:t>
      </w:r>
      <w:r>
        <w:t xml:space="preserve">, static assertions, and</w:t>
      </w:r>
      <w:r>
        <w:t xml:space="preserve"> </w:t>
      </w:r>
      <w:r>
        <w:rPr>
          <w:rStyle w:val="VerbatimChar"/>
        </w:rPr>
        <w:t xml:space="preserve">.maps</w:t>
      </w:r>
      <w:r>
        <w:t xml:space="preserve"> </w:t>
      </w:r>
      <w:r>
        <w:t xml:space="preserve">binary compatibility, with no benefit to the metal/covalent mission, LKina’s GUI integration unconditionally routes through</w:t>
      </w:r>
      <w:r>
        <w:t xml:space="preserve"> </w:t>
      </w:r>
      <w:r>
        <w:rPr>
          <w:rStyle w:val="VerbatimChar"/>
        </w:rPr>
        <w:t xml:space="preserve">--scoring LKDock</w:t>
      </w:r>
      <w:r>
        <w:t xml:space="preserve"> </w:t>
      </w:r>
      <w:r>
        <w:t xml:space="preserve">(AD4) mode, which covers all 117 atom types and exhibits identical search behavior for organic ligands. The AD4 path is therefore the recommended mode for all LKina workflows.</w:t>
      </w:r>
      <w:r>
        <w:t xml:space="preserve"> </w:t>
      </w:r>
      <w:r>
        <w:rPr>
          <w:b/>
          <w:bCs/>
        </w:rPr>
        <w:t xml:space="preserve">Note:</w:t>
      </w:r>
      <w:r>
        <w:t xml:space="preserve"> </w:t>
      </w:r>
      <w:r>
        <w:t xml:space="preserve">invoking the LKina binary directly on the CLI with</w:t>
      </w:r>
      <w:r>
        <w:t xml:space="preserve"> </w:t>
      </w:r>
      <w:r>
        <w:rPr>
          <w:rStyle w:val="VerbatimChar"/>
        </w:rPr>
        <w:t xml:space="preserve">--scoring vina</w:t>
      </w:r>
      <w:r>
        <w:t xml:space="preserve"> </w:t>
      </w:r>
      <w:r>
        <w:t xml:space="preserve">works correctly — the numerical identity reported in Section 3.5 (1HVR/3PTB) was obtained by direct CLI invocation; the SIGABRT above is specific to the GUI-integration packaged environment.</w:t>
      </w:r>
    </w:p>
    <w:bookmarkEnd w:id="28"/>
    <w:bookmarkStart w:id="29" w:name="Xc0810239fac6ab73fe81eb5afc14421617941cb"/>
    <w:p>
      <w:pPr>
        <w:pStyle w:val="Heading3"/>
      </w:pPr>
      <w:r>
        <w:t xml:space="preserve">2.12 Command-line interface (invocation examples)</w:t>
      </w:r>
    </w:p>
    <w:p>
      <w:pPr>
        <w:pStyle w:val="FirstParagraph"/>
      </w:pPr>
      <w:r>
        <w:t xml:space="preserve">All LKina features are exposed through a single binary whose CLI is a superset of AutoDock Vina’s. The complete flag reference ships with the repository (</w:t>
      </w:r>
      <w:r>
        <w:rPr>
          <w:rStyle w:val="VerbatimChar"/>
        </w:rPr>
        <w:t xml:space="preserve">LKina --help_advanced</w:t>
      </w:r>
      <w:r>
        <w:t xml:space="preserve">); we list here the invocations actually used in this work so that every experiment in Sections 3.2–3.6 can be reproduced verbatim.</w:t>
      </w:r>
      <w:r>
        <w:t xml:space="preserve"> </w:t>
      </w:r>
      <w:r>
        <w:rPr>
          <w:b/>
          <w:bCs/>
        </w:rPr>
        <w:t xml:space="preserve">Metal docking with inline grid generation</w:t>
      </w:r>
      <w:r>
        <w:t xml:space="preserve"> </w:t>
      </w:r>
      <w:r>
        <w:t xml:space="preserve">(no external</w:t>
      </w:r>
      <w:r>
        <w:t xml:space="preserve"> </w:t>
      </w:r>
      <w:r>
        <w:rPr>
          <w:rStyle w:val="VerbatimChar"/>
        </w:rPr>
        <w:t xml:space="preserve">autogrid4</w:t>
      </w:r>
      <w:r>
        <w:t xml:space="preserve">) is performed by:</w:t>
      </w:r>
    </w:p>
    <w:p>
      <w:pPr>
        <w:pStyle w:val="SourceCode"/>
      </w:pPr>
      <w:r>
        <w:rPr>
          <w:rStyle w:val="VerbatimChar"/>
        </w:rPr>
        <w:t xml:space="preserve">lkina --receptor rec.pdbqt --ligand lig.pdbqt \</w:t>
      </w:r>
      <w:r>
        <w:br/>
      </w:r>
      <w:r>
        <w:rPr>
          <w:rStyle w:val="VerbatimChar"/>
        </w:rPr>
        <w:t xml:space="preserve">      --scoring ad4 --generate_maps --metal_mode zn \</w:t>
      </w:r>
      <w:r>
        <w:br/>
      </w:r>
      <w:r>
        <w:rPr>
          <w:rStyle w:val="VerbatimChar"/>
        </w:rPr>
        <w:t xml:space="preserve">      --center_x X --center_y Y --center_z Z \</w:t>
      </w:r>
      <w:r>
        <w:br/>
      </w:r>
      <w:r>
        <w:rPr>
          <w:rStyle w:val="VerbatimChar"/>
        </w:rPr>
        <w:t xml:space="preserve">      --size_x Sx --size_y Sy --size_z Sz \</w:t>
      </w:r>
      <w:r>
        <w:br/>
      </w:r>
      <w:r>
        <w:rPr>
          <w:rStyle w:val="VerbatimChar"/>
        </w:rPr>
        <w:t xml:space="preserve">      --exhaustiveness 8 --seed 42 --out pose.pdbqt</w:t>
      </w:r>
    </w:p>
    <w:p>
      <w:pPr>
        <w:pStyle w:val="FirstParagraph"/>
      </w:pPr>
      <w:r>
        <w:t xml:space="preserve">If</w:t>
      </w:r>
      <w:r>
        <w:t xml:space="preserve"> </w:t>
      </w:r>
      <w:r>
        <w:rPr>
          <w:rStyle w:val="VerbatimChar"/>
        </w:rPr>
        <w:t xml:space="preserve">--metal_mode</w:t>
      </w:r>
      <w:r>
        <w:t xml:space="preserve"> </w:t>
      </w:r>
      <w:r>
        <w:t xml:space="preserve">is omitted, the engine auto-detects metal modes from receptor/ligand PDBQT atom types; appending</w:t>
      </w:r>
      <w:r>
        <w:t xml:space="preserve"> </w:t>
      </w:r>
      <w:r>
        <w:rPr>
          <w:rStyle w:val="VerbatimChar"/>
        </w:rPr>
        <w:t xml:space="preserve">--no_auto_metal</w:t>
      </w:r>
      <w:r>
        <w:t xml:space="preserve"> </w:t>
      </w:r>
      <w:r>
        <w:t xml:space="preserve">suppresses detection and keeps pure AD4 scoring, this exact pair of configurations constitutes the LKina-with/without-coordination-model comparison reported in Section 3.6. Receptor-side geometry can be validated before docking with</w:t>
      </w:r>
      <w:r>
        <w:t xml:space="preserve"> </w:t>
      </w:r>
      <w:r>
        <w:rPr>
          <w:rStyle w:val="VerbatimChar"/>
        </w:rPr>
        <w:t xml:space="preserve">--metal_geometry_check</w:t>
      </w:r>
      <w:r>
        <w:t xml:space="preserve">, and the search-time soft-constraint channel is enabled by</w:t>
      </w:r>
      <w:r>
        <w:t xml:space="preserve"> </w:t>
      </w:r>
      <w:r>
        <w:rPr>
          <w:rStyle w:val="VerbatimChar"/>
        </w:rPr>
        <w:t xml:space="preserve">--metal_soft_weight w</w:t>
      </w:r>
      <w:r>
        <w:t xml:space="preserve"> </w:t>
      </w:r>
      <w:r>
        <w:t xml:space="preserve">(0 = off). Oxidation-state variants are addressed by explicit tokens (e.g. </w:t>
      </w:r>
      <w:r>
        <w:rPr>
          <w:rStyle w:val="VerbatimChar"/>
        </w:rPr>
        <w:t xml:space="preserve">fe2</w:t>
      </w:r>
      <w:r>
        <w:t xml:space="preserve">/</w:t>
      </w:r>
      <w:r>
        <w:rPr>
          <w:rStyle w:val="VerbatimChar"/>
        </w:rPr>
        <w:t xml:space="preserve">fe3</w:t>
      </w:r>
      <w:r>
        <w:t xml:space="preserve">,</w:t>
      </w:r>
      <w:r>
        <w:t xml:space="preserve"> </w:t>
      </w:r>
      <w:r>
        <w:rPr>
          <w:rStyle w:val="VerbatimChar"/>
        </w:rPr>
        <w:t xml:space="preserve">cu1</w:t>
      </w:r>
      <w:r>
        <w:t xml:space="preserve">/</w:t>
      </w:r>
      <w:r>
        <w:rPr>
          <w:rStyle w:val="VerbatimChar"/>
        </w:rPr>
        <w:t xml:space="preserve">cu2</w:t>
      </w:r>
      <w:r>
        <w:t xml:space="preserve">, and</w:t>
      </w:r>
      <w:r>
        <w:t xml:space="preserve"> </w:t>
      </w:r>
      <w:r>
        <w:rPr>
          <w:rStyle w:val="VerbatimChar"/>
        </w:rPr>
        <w:t xml:space="preserve">cu2_jt</w:t>
      </w:r>
      <w:r>
        <w:t xml:space="preserve"> </w:t>
      </w:r>
      <w:r>
        <w:t xml:space="preserve">for Jahn–Teller-distorted Cu²⁺); when the token is omitted for a variable-valence metal, BVS inference selects the mode from the donor environment (Section 2.5).</w:t>
      </w:r>
      <w:r>
        <w:t xml:space="preserve"> </w:t>
      </w:r>
      <w:r>
        <w:rPr>
          <w:b/>
          <w:bCs/>
        </w:rPr>
        <w:t xml:space="preserve">Reactive covalent docking</w:t>
      </w:r>
      <w:r>
        <w:t xml:space="preserve"> </w:t>
      </w:r>
      <w:r>
        <w:t xml:space="preserve">uses the preset mechanism:</w:t>
      </w:r>
    </w:p>
    <w:p>
      <w:pPr>
        <w:pStyle w:val="SourceCode"/>
      </w:pPr>
      <w:r>
        <w:rPr>
          <w:rStyle w:val="VerbatimChar"/>
        </w:rPr>
        <w:t xml:space="preserve">lkina --receptor rec.pdbqt --flex flex.pdbqt \</w:t>
      </w:r>
      <w:r>
        <w:br/>
      </w:r>
      <w:r>
        <w:rPr>
          <w:rStyle w:val="VerbatimChar"/>
        </w:rPr>
        <w:t xml:space="preserve">      --ligand lig.pdbqt --scoring ad4 --generate_maps \</w:t>
      </w:r>
      <w:r>
        <w:br/>
      </w:r>
      <w:r>
        <w:rPr>
          <w:rStyle w:val="VerbatimChar"/>
        </w:rPr>
        <w:t xml:space="preserve">      --reactive_preset cys_michael [preset overrides] \</w:t>
      </w:r>
      <w:r>
        <w:br/>
      </w:r>
      <w:r>
        <w:rPr>
          <w:rStyle w:val="VerbatimChar"/>
        </w:rPr>
        <w:t xml:space="preserve">      --center ... --size ... --out pose.pdbqt</w:t>
      </w:r>
    </w:p>
    <w:p>
      <w:pPr>
        <w:pStyle w:val="FirstParagraph"/>
      </w:pPr>
      <w:r>
        <w:t xml:space="preserve">with six presets available (</w:t>
      </w:r>
      <w:r>
        <w:rPr>
          <w:rStyle w:val="VerbatimChar"/>
        </w:rPr>
        <w:t xml:space="preserve">cys_michael | cys_sn2 | ser_covalent | lys_targeting | boronic_acid | tyr_covalent</w:t>
      </w:r>
      <w:r>
        <w:t xml:space="preserve">), each overridable per parameter;</w:t>
      </w:r>
      <w:r>
        <w:t xml:space="preserve"> </w:t>
      </w:r>
      <w:r>
        <w:rPr>
          <w:rStyle w:val="VerbatimChar"/>
        </w:rPr>
        <w:t xml:space="preserve">--reactive_gradcheck</w:t>
      </w:r>
      <w:r>
        <w:t xml:space="preserve"> </w:t>
      </w:r>
      <w:r>
        <w:t xml:space="preserve">runs the finite-difference gradient audit of Section 3.2.2. Finally, ligand-side metallocomplex geometry QC is activated by</w:t>
      </w:r>
      <w:r>
        <w:t xml:space="preserve"> </w:t>
      </w:r>
      <w:r>
        <w:rPr>
          <w:rStyle w:val="VerbatimChar"/>
        </w:rPr>
        <w:t xml:space="preserve">--ligand_metal_geometry_weight w</w:t>
      </w:r>
      <w:r>
        <w:t xml:space="preserve">. Internally, these flags map onto the modules of Section 2.11, e.g.,</w:t>
      </w:r>
      <w:r>
        <w:t xml:space="preserve"> </w:t>
      </w:r>
      <w:r>
        <w:rPr>
          <w:rStyle w:val="VerbatimChar"/>
        </w:rPr>
        <w:t xml:space="preserve">--metal_mode</w:t>
      </w:r>
      <w:r>
        <w:t xml:space="preserve"> </w:t>
      </w:r>
      <w:r>
        <w:t xml:space="preserve">drives pseudoatom injection in</w:t>
      </w:r>
      <w:r>
        <w:t xml:space="preserve"> </w:t>
      </w:r>
      <w:r>
        <w:rPr>
          <w:rStyle w:val="VerbatimChar"/>
        </w:rPr>
        <w:t xml:space="preserve">ag4_engine.cpp</w:t>
      </w:r>
      <w:r>
        <w:t xml:space="preserve">, while</w:t>
      </w:r>
      <w:r>
        <w:t xml:space="preserve"> </w:t>
      </w:r>
      <w:r>
        <w:rPr>
          <w:rStyle w:val="VerbatimChar"/>
        </w:rPr>
        <w:t xml:space="preserve">--generate_maps</w:t>
      </w:r>
      <w:r>
        <w:t xml:space="preserve"> </w:t>
      </w:r>
      <w:r>
        <w:t xml:space="preserve">routes grid computation through</w:t>
      </w:r>
      <w:r>
        <w:t xml:space="preserve"> </w:t>
      </w:r>
      <w:r>
        <w:rPr>
          <w:rStyle w:val="VerbatimChar"/>
        </w:rPr>
        <w:t xml:space="preserve">embedded_ad4_grid.cpp</w:t>
      </w:r>
      <w:r>
        <w:t xml:space="preserve"> </w:t>
      </w:r>
      <w:r>
        <w:t xml:space="preserve">instead of reading external</w:t>
      </w:r>
      <w:r>
        <w:t xml:space="preserve"> </w:t>
      </w:r>
      <w:r>
        <w:rPr>
          <w:rStyle w:val="VerbatimChar"/>
        </w:rPr>
        <w:t xml:space="preserve">.map</w:t>
      </w:r>
      <w:r>
        <w:t xml:space="preserve"> </w:t>
      </w:r>
      <w:r>
        <w:t xml:space="preserve">files.</w:t>
      </w:r>
    </w:p>
    <w:p>
      <w:pPr>
        <w:pStyle w:val="BodyText"/>
      </w:pPr>
      <w:r>
        <w:rPr>
          <w:b/>
          <w:bCs/>
        </w:rPr>
        <w:t xml:space="preserve">Scoring functions and workflow compatibility.</w:t>
      </w:r>
      <w:r>
        <w:t xml:space="preserve"> </w:t>
      </w:r>
      <w:r>
        <w:rPr>
          <w:rStyle w:val="VerbatimChar"/>
        </w:rPr>
        <w:t xml:space="preserve">--scoring</w:t>
      </w:r>
      <w:r>
        <w:t xml:space="preserve"> </w:t>
      </w:r>
      <w:r>
        <w:t xml:space="preserve">accepts three force fields:</w:t>
      </w:r>
      <w:r>
        <w:t xml:space="preserve"> </w:t>
      </w:r>
      <w:r>
        <w:rPr>
          <w:rStyle w:val="VerbatimChar"/>
        </w:rPr>
        <w:t xml:space="preserve">ad4</w:t>
      </w:r>
      <w:r>
        <w:t xml:space="preserve">/</w:t>
      </w:r>
      <w:r>
        <w:rPr>
          <w:rStyle w:val="VerbatimChar"/>
        </w:rPr>
        <w:t xml:space="preserve">LKDock</w:t>
      </w:r>
      <w:r>
        <w:t xml:space="preserve"> </w:t>
      </w:r>
      <w:r>
        <w:t xml:space="preserve">(default; covers all 113 AD4 atom types and enables the metal/covalent extensions),</w:t>
      </w:r>
      <w:r>
        <w:t xml:space="preserve"> </w:t>
      </w:r>
      <w:r>
        <w:rPr>
          <w:rStyle w:val="VerbatimChar"/>
        </w:rPr>
        <w:t xml:space="preserve">vina</w:t>
      </w:r>
      <w:r>
        <w:t xml:space="preserve"> </w:t>
      </w:r>
      <w:r>
        <w:t xml:space="preserve">(Vina 1.2.7’s original 32-type XS system, used for backward-compatibility verification, Section 3.5), and</w:t>
      </w:r>
      <w:r>
        <w:t xml:space="preserve"> </w:t>
      </w:r>
      <w:r>
        <w:rPr>
          <w:rStyle w:val="VerbatimChar"/>
        </w:rPr>
        <w:t xml:space="preserve">vinardo</w:t>
      </w:r>
      <w:r>
        <w:t xml:space="preserve"> </w:t>
      </w:r>
      <w:r>
        <w:t xml:space="preserve">(Vina’s generic scoring variant).</w:t>
      </w:r>
      <w:r>
        <w:t xml:space="preserve"> </w:t>
      </w:r>
      <w:r>
        <w:rPr>
          <w:rStyle w:val="VerbatimChar"/>
        </w:rPr>
        <w:t xml:space="preserve">--config file</w:t>
      </w:r>
      <w:r>
        <w:t xml:space="preserve"> </w:t>
      </w:r>
      <w:r>
        <w:t xml:space="preserve">reads all command-line flags from a configuration file (convenient for large-scale reproduction);</w:t>
      </w:r>
      <w:r>
        <w:t xml:space="preserve"> </w:t>
      </w:r>
      <w:r>
        <w:rPr>
          <w:rStyle w:val="VerbatimChar"/>
        </w:rPr>
        <w:t xml:space="preserve">--batch dir|lig1 lig2 …</w:t>
      </w:r>
      <w:r>
        <w:t xml:space="preserve"> </w:t>
      </w:r>
      <w:r>
        <w:t xml:space="preserve">provides batch docking (per-ligand automatic metal detection with AD4 grid regeneration before each dock; Section 2.5), with</w:t>
      </w:r>
      <w:r>
        <w:t xml:space="preserve"> </w:t>
      </w:r>
      <w:r>
        <w:rPr>
          <w:rStyle w:val="VerbatimChar"/>
        </w:rPr>
        <w:t xml:space="preserve">--dir out/</w:t>
      </w:r>
      <w:r>
        <w:t xml:space="preserve"> </w:t>
      </w:r>
      <w:r>
        <w:t xml:space="preserve">specifying the batch output directory;</w:t>
      </w:r>
      <w:r>
        <w:t xml:space="preserve"> </w:t>
      </w:r>
      <w:r>
        <w:rPr>
          <w:rStyle w:val="VerbatimChar"/>
        </w:rPr>
        <w:t xml:space="preserve">--autobox</w:t>
      </w:r>
      <w:r>
        <w:t xml:space="preserve"> </w:t>
      </w:r>
      <w:r>
        <w:t xml:space="preserve">sizes the grid box from the input ligand (for use with</w:t>
      </w:r>
      <w:r>
        <w:t xml:space="preserve"> </w:t>
      </w:r>
      <w:r>
        <w:rPr>
          <w:rStyle w:val="VerbatimChar"/>
        </w:rPr>
        <w:t xml:space="preserve">--score_only</w:t>
      </w:r>
      <w:r>
        <w:t xml:space="preserve">/</w:t>
      </w:r>
      <w:r>
        <w:rPr>
          <w:rStyle w:val="VerbatimChar"/>
        </w:rPr>
        <w:t xml:space="preserve">--local_only</w:t>
      </w:r>
      <w:r>
        <w:t xml:space="preserve">);</w:t>
      </w:r>
      <w:r>
        <w:t xml:space="preserve"> </w:t>
      </w:r>
      <w:r>
        <w:rPr>
          <w:rStyle w:val="VerbatimChar"/>
        </w:rPr>
        <w:t xml:space="preserve">--flex flex.pdbqt</w:t>
      </w:r>
      <w:r>
        <w:t xml:space="preserve"> </w:t>
      </w:r>
      <w:r>
        <w:t xml:space="preserve">enables flexible side chains;</w:t>
      </w:r>
      <w:r>
        <w:t xml:space="preserve"> </w:t>
      </w:r>
      <w:r>
        <w:rPr>
          <w:rStyle w:val="VerbatimChar"/>
        </w:rPr>
        <w:t xml:space="preserve">--local_only</w:t>
      </w:r>
      <w:r>
        <w:t xml:space="preserve"> </w:t>
      </w:r>
      <w:r>
        <w:t xml:space="preserve">performs a local search only; and</w:t>
      </w:r>
      <w:r>
        <w:t xml:space="preserve"> </w:t>
      </w:r>
      <w:r>
        <w:rPr>
          <w:rStyle w:val="VerbatimChar"/>
        </w:rPr>
        <w:t xml:space="preserve">--unbound_energy E</w:t>
      </w:r>
      <w:r>
        <w:t xml:space="preserve"> </w:t>
      </w:r>
      <w:r>
        <w:t xml:space="preserve">sets the unbound-system energy explicitly in</w:t>
      </w:r>
      <w:r>
        <w:t xml:space="preserve"> </w:t>
      </w:r>
      <w:r>
        <w:rPr>
          <w:rStyle w:val="VerbatimChar"/>
        </w:rPr>
        <w:t xml:space="preserve">--score_only</w:t>
      </w:r>
      <w:r>
        <w:t xml:space="preserve">. All standard Vina 1.2.7 flags (</w:t>
      </w:r>
      <w:r>
        <w:rPr>
          <w:rStyle w:val="VerbatimChar"/>
        </w:rPr>
        <w:t xml:space="preserve">--num_modes</w:t>
      </w:r>
      <w:r>
        <w:t xml:space="preserve">,</w:t>
      </w:r>
      <w:r>
        <w:t xml:space="preserve"> </w:t>
      </w:r>
      <w:r>
        <w:rPr>
          <w:rStyle w:val="VerbatimChar"/>
        </w:rPr>
        <w:t xml:space="preserve">--energy_range</w:t>
      </w:r>
      <w:r>
        <w:t xml:space="preserve">,</w:t>
      </w:r>
      <w:r>
        <w:t xml:space="preserve"> </w:t>
      </w:r>
      <w:r>
        <w:rPr>
          <w:rStyle w:val="VerbatimChar"/>
        </w:rPr>
        <w:t xml:space="preserve">--min_rmsd</w:t>
      </w:r>
      <w:r>
        <w:t xml:space="preserve">,</w:t>
      </w:r>
      <w:r>
        <w:t xml:space="preserve"> </w:t>
      </w:r>
      <w:r>
        <w:rPr>
          <w:rStyle w:val="VerbatimChar"/>
        </w:rPr>
        <w:t xml:space="preserve">--spacing</w:t>
      </w:r>
      <w:r>
        <w:t xml:space="preserve">,</w:t>
      </w:r>
      <w:r>
        <w:t xml:space="preserve"> </w:t>
      </w:r>
      <w:r>
        <w:rPr>
          <w:rStyle w:val="VerbatimChar"/>
        </w:rPr>
        <w:t xml:space="preserve">--seed</w:t>
      </w:r>
      <w:r>
        <w:t xml:space="preserve">,</w:t>
      </w:r>
      <w:r>
        <w:t xml:space="preserve"> </w:t>
      </w:r>
      <w:r>
        <w:rPr>
          <w:rStyle w:val="VerbatimChar"/>
        </w:rPr>
        <w:t xml:space="preserve">--cpu</w:t>
      </w:r>
      <w:r>
        <w:t xml:space="preserve">,</w:t>
      </w:r>
      <w:r>
        <w:t xml:space="preserve"> </w:t>
      </w:r>
      <w:r>
        <w:rPr>
          <w:rStyle w:val="VerbatimChar"/>
        </w:rPr>
        <w:t xml:space="preserve">--verbosity</w:t>
      </w:r>
      <w:r>
        <w:t xml:space="preserve">, etc.) are preserved unchanged.</w:t>
      </w:r>
    </w:p>
    <w:p>
      <w:r>
        <w:pict>
          <v:rect style="width:0;height:1.5pt" o:hralign="center" o:hrstd="t" o:hr="t"/>
        </w:pict>
      </w:r>
    </w:p>
    <w:bookmarkEnd w:id="29"/>
    <w:bookmarkEnd w:id="30"/>
    <w:bookmarkStart w:id="85" w:name="results"/>
    <w:p>
      <w:pPr>
        <w:pStyle w:val="Heading2"/>
      </w:pPr>
      <w:r>
        <w:t xml:space="preserve">3. Results</w:t>
      </w:r>
    </w:p>
    <w:p>
      <w:pPr>
        <w:pStyle w:val="FirstParagraph"/>
      </w:pPr>
      <w:r>
        <w:t xml:space="preserve">Results are organized as an evidence hierarchy rather than as a feature list. Section 3.1 establishes</w:t>
      </w:r>
      <w:r>
        <w:t xml:space="preserve"> </w:t>
      </w:r>
      <w:r>
        <w:rPr>
          <w:i/>
          <w:iCs/>
        </w:rPr>
        <w:t xml:space="preserve">software correctness</w:t>
      </w:r>
      <w:r>
        <w:t xml:space="preserve"> </w:t>
      </w:r>
      <w:r>
        <w:t xml:space="preserve">(regression tests, build matrix); Section 3.2 adds</w:t>
      </w:r>
      <w:r>
        <w:t xml:space="preserve"> </w:t>
      </w:r>
      <w:r>
        <w:rPr>
          <w:i/>
          <w:iCs/>
        </w:rPr>
        <w:t xml:space="preserve">numerical verification</w:t>
      </w:r>
      <w:r>
        <w:t xml:space="preserve"> </w:t>
      </w:r>
      <w:r>
        <w:t xml:space="preserve">of the metal/gradient machinery (the v1.0.2 engine fixes and the analytical-gradient audit). Sections 3.2–3.4 report</w:t>
      </w:r>
      <w:r>
        <w:t xml:space="preserve"> </w:t>
      </w:r>
      <w:r>
        <w:rPr>
          <w:i/>
          <w:iCs/>
        </w:rPr>
        <w:t xml:space="preserve">functional validation on synthetic and preset systems</w:t>
      </w:r>
      <w:r>
        <w:t xml:space="preserve">, which can demonstrate that the machinery works as designed but not real-world predictive accuracy. Sections 3.3, 3.6, and 3.7 provide the</w:t>
      </w:r>
      <w:r>
        <w:t xml:space="preserve"> </w:t>
      </w:r>
      <w:r>
        <w:rPr>
          <w:i/>
          <w:iCs/>
        </w:rPr>
        <w:t xml:space="preserve">scientific evidence on real systems</w:t>
      </w:r>
      <w:r>
        <w:t xml:space="preserve"> </w:t>
      </w:r>
      <w:r>
        <w:t xml:space="preserve">— a three-engine comparison, a 104-case PDB redocking benchmark, and parameter-stability measurements — whose scale remains the main limitation of this work (Section 4.5). We keep the software-verification material visible rather than relegated to supplementary material because the v1.0.2 fixes (Section 3.2.1) change numeric results reported elsewhere in the paper.</w:t>
      </w:r>
    </w:p>
    <w:bookmarkStart w:id="31" w:name="Xcb32f9ddac70a683973b2ab3bd4ec6c06778bec"/>
    <w:p>
      <w:pPr>
        <w:pStyle w:val="Heading3"/>
      </w:pPr>
      <w:r>
        <w:t xml:space="preserve">3.1 Software verification: regression tests and build matrix</w:t>
      </w:r>
    </w:p>
    <w:p>
      <w:pPr>
        <w:pStyle w:val="FirstParagraph"/>
      </w:pPr>
      <w:r>
        <w:t xml:space="preserve">This section establishes only that the implementation is correct as written; it does not by itself support any claim of predictive validity (see the evidence hierarchy above). LKina’s validation layer (17 automated regression checks in</w:t>
      </w:r>
      <w:r>
        <w:t xml:space="preserve"> </w:t>
      </w:r>
      <w:r>
        <w:rPr>
          <w:rStyle w:val="VerbatimChar"/>
        </w:rPr>
        <w:t xml:space="preserve">tests/</w:t>
      </w:r>
      <w:r>
        <w:t xml:space="preserve">, per engine design document §5.1) is organized into six groups: A, 4 global docking-energy regressions at fixed seed/exhaustiveness (2 of which reproduce the Vina 1.2.7 values exactly); B, 5 score-decomposition checks on crystal conformations (</w:t>
      </w:r>
      <w:r>
        <w:rPr>
          <w:rStyle w:val="VerbatimChar"/>
        </w:rPr>
        <w:t xml:space="preserve">--score_only</w:t>
      </w:r>
      <w:r>
        <w:t xml:space="preserve">); C, 3</w:t>
      </w:r>
      <w:r>
        <w:t xml:space="preserve"> </w:t>
      </w:r>
      <w:r>
        <w:rPr>
          <w:rStyle w:val="VerbatimChar"/>
        </w:rPr>
        <w:t xml:space="preserve">lig_atom</w:t>
      </w:r>
      <w:r>
        <w:t xml:space="preserve"> </w:t>
      </w:r>
      <w:r>
        <w:t xml:space="preserve">gradient vs finite-difference validations; D, 1</w:t>
      </w:r>
      <w:r>
        <w:t xml:space="preserve"> </w:t>
      </w:r>
      <w:r>
        <w:rPr>
          <w:rStyle w:val="VerbatimChar"/>
        </w:rPr>
        <w:t xml:space="preserve">target_angle</w:t>
      </w:r>
      <w:r>
        <w:t xml:space="preserve"> </w:t>
      </w:r>
      <w:r>
        <w:t xml:space="preserve">parameter-effect test; E, 1</w:t>
      </w:r>
      <w:r>
        <w:t xml:space="preserve"> </w:t>
      </w:r>
      <w:r>
        <w:rPr>
          <w:rStyle w:val="VerbatimChar"/>
        </w:rPr>
        <w:t xml:space="preserve">hybrid_vdw_scale</w:t>
      </w:r>
      <w:r>
        <w:t xml:space="preserve"> </w:t>
      </w:r>
      <w:r>
        <w:t xml:space="preserve">continuous-scaling test; and F, 3</w:t>
      </w:r>
      <w:r>
        <w:t xml:space="preserve"> </w:t>
      </w:r>
      <w:r>
        <w:rPr>
          <w:rStyle w:val="VerbatimChar"/>
        </w:rPr>
        <w:t xml:space="preserve">lig_frame_atom</w:t>
      </w:r>
      <w:r>
        <w:t xml:space="preserve"> </w:t>
      </w:r>
      <w:r>
        <w:t xml:space="preserve">gradient validations. All 17 checks pass on the release binary (macOS ARM64, seed 42;</w:t>
      </w:r>
      <w:r>
        <w:t xml:space="preserve"> </w:t>
      </w:r>
      <w:r>
        <w:rPr>
          <w:rStyle w:val="VerbatimChar"/>
        </w:rPr>
        <w:t xml:space="preserve">tests/reactive_regression.sh</w:t>
      </w:r>
      <w:r>
        <w:t xml:space="preserve">). In addition, this work independently re-executed the highest-value checks against the live binary: the reactive gradient check via</w:t>
      </w:r>
      <w:r>
        <w:t xml:space="preserve"> </w:t>
      </w:r>
      <w:r>
        <w:rPr>
          <w:rStyle w:val="VerbatimChar"/>
        </w:rPr>
        <w:t xml:space="preserve">--reactive_gradcheck</w:t>
      </w:r>
      <w:r>
        <w:t xml:space="preserve"> </w:t>
      </w:r>
      <w:r>
        <w:t xml:space="preserve">(maximum |analytic − numeric| deviation</w:t>
      </w:r>
      <w:r>
        <w:t xml:space="preserve"> </w:t>
      </w:r>
      <w:r>
        <w:rPr>
          <w:b/>
          <w:bCs/>
        </w:rPr>
        <w:t xml:space="preserve">2.4 × 10⁻¹⁶–4.3 × 10⁻⁸</w:t>
      </w:r>
      <w:r>
        <w:t xml:space="preserve"> </w:t>
      </w:r>
      <w:r>
        <w:t xml:space="preserve">across the seven force components of all six presets; Section 3.2.2), two global docking-energy regressions on real organic systems (Section 3.5), and score-decomposition verification during the energy-scale audit (</w:t>
      </w:r>
      <w:r>
        <w:rPr>
          <w:rStyle w:val="VerbatimChar"/>
        </w:rPr>
        <w:t xml:space="preserve">INTER + torsions = VINA RESULT</w:t>
      </w:r>
      <w:r>
        <w:t xml:space="preserve"> </w:t>
      </w:r>
      <w:r>
        <w:t xml:space="preserve">holds exactly). The engine compiles with zero errors and zero warnings (</w:t>
      </w:r>
      <w:r>
        <w:rPr>
          <w:rStyle w:val="VerbatimChar"/>
        </w:rPr>
        <w:t xml:space="preserve">-Wall -Wno-long-long -O3 -fopenmp</w:t>
      </w:r>
      <w:r>
        <w:t xml:space="preserve">) on macOS 14 (Apple M2, clang++ 14), macOS 13 (Intel), and Ubuntu 22.04 (g++ 11).</w:t>
      </w:r>
    </w:p>
    <w:bookmarkEnd w:id="31"/>
    <w:bookmarkStart w:id="41" w:name="X982a7b8bb8f485701b75620c5e470da905d0dd5"/>
    <w:p>
      <w:pPr>
        <w:pStyle w:val="Heading3"/>
      </w:pPr>
      <w:r>
        <w:t xml:space="preserve">3.2 Systematic metal-coverage benchmark (110 metal modes)</w:t>
      </w:r>
    </w:p>
    <w:p>
      <w:pPr>
        <w:pStyle w:val="FirstParagraph"/>
      </w:pPr>
      <w:r>
        <w:t xml:space="preserve">To verify the claim that LKina’s 113-type AD4 atom system covers the pharmaceutically relevant metals, we built a</w:t>
      </w:r>
      <w:r>
        <w:t xml:space="preserve"> </w:t>
      </w:r>
      <w:r>
        <w:rPr>
          <w:b/>
          <w:bCs/>
        </w:rPr>
        <w:t xml:space="preserve">synthetic metal-coordination benchmark</w:t>
      </w:r>
      <w:r>
        <w:t xml:space="preserve"> </w:t>
      </w:r>
      <w:r>
        <w:t xml:space="preserve">spanning every</w:t>
      </w:r>
      <w:r>
        <w:t xml:space="preserve"> </w:t>
      </w:r>
      <w:r>
        <w:rPr>
          <w:rStyle w:val="VerbatimChar"/>
        </w:rPr>
        <w:t xml:space="preserve">metal_mode</w:t>
      </w:r>
      <w:r>
        <w:t xml:space="preserve"> </w:t>
      </w:r>
      <w:r>
        <w:t xml:space="preserve">CLI token implemented by the engine (</w:t>
      </w:r>
      <w:r>
        <w:rPr>
          <w:b/>
          <w:bCs/>
        </w:rPr>
        <w:t xml:space="preserve">110 modes</w:t>
      </w:r>
      <w:r>
        <w:t xml:space="preserve">: biological Zn/Mg/Ca/Mn/Fe/Co/Ni/Cu; medicinal Pt/Pd/Ru/Ir/Au/Rh/Ag/Tc/Re/Os; toxicological Cd/Hg/Tl/Pb/Sb/Bi/As; s-block Na/K/Li/Al/Sr/Ba; early-transition V/Cr/Ti/Sc/Y/Zr/Nb/Hf/Ta/W/Mo; lanthanides La–Lu; actinides Ac–Fm + UO₂²⁺; metalloids Se/Ge/Te/Po/At/B/Be; post-transition Ga/In/Sn; the Jahn–Teller modes cu2_jt/mn3_jt; oxidation-state variants fe2/fe3/cu1/cu2/mn2/mn3/co2/co3/ni2/ni3/as3/as5/sb3/sb5/v4/v5/mo4/mo6; and the aqua variants mg_aq/ca_aq/fe3_aq/mn2_aq/co2_aq). For each mode, a synthetic receptor was generated, the metal at the origin, (n−1) coordination donors (NA/OA) placed at the ideal M–L distance</w:t>
      </w:r>
      <w:r>
        <w:t xml:space="preserve"> </w:t>
      </w:r>
      <m:oMath>
        <m:sSub>
          <m:e>
            <m:r>
              <m:t>d</m:t>
            </m:r>
          </m:e>
          <m:sub>
            <m:r>
              <m:t>0</m:t>
            </m:r>
          </m:sub>
        </m:sSub>
      </m:oMath>
      <w:r>
        <w:t xml:space="preserve"> </w:t>
      </w:r>
      <w:r>
        <w:t xml:space="preserve">along the appropriate geometry (tetrahedral TZ, square-planar/linear SQ, octahedral MH, or JT), plus backbone carbons, and an NA-donor probe ligand was docked from a position</w:t>
      </w:r>
      <w:r>
        <w:t xml:space="preserve"> </w:t>
      </w:r>
      <m:oMath>
        <m:sSub>
          <m:e>
            <m:r>
              <m:t>d</m:t>
            </m:r>
          </m:e>
          <m:sub>
            <m:r>
              <m:t>0</m:t>
            </m:r>
          </m:sub>
        </m:sSub>
        <m:r>
          <m:rPr>
            <m:sty m:val="p"/>
          </m:rPr>
          <m:t>+</m:t>
        </m:r>
        <m:r>
          <m:t>4</m:t>
        </m:r>
      </m:oMath>
      <w:r>
        <w:t xml:space="preserve"> </w:t>
      </w:r>
      <w:r>
        <w:t xml:space="preserve">Å beyond the ideal coordination distance. All runs used exhaustiveness 8, seed 42, grid spacing 0.375 Å, and identical boxes. The receptor/ligand PDBQT files are produced by</w:t>
      </w:r>
      <w:r>
        <w:t xml:space="preserve"> </w:t>
      </w:r>
      <w:r>
        <w:rPr>
          <w:rStyle w:val="VerbatimChar"/>
        </w:rPr>
        <w:t xml:space="preserve">benchmarks/pdbqt_util.py</w:t>
      </w:r>
      <w:r>
        <w:t xml:space="preserve">, which uses an absolute-column layout (type token at 0-indexed columns 77–78; chain 21; resi 22–25; x 30–37) verified to parse correctly under both LKina and Vina 1.2.7.</w:t>
      </w:r>
    </w:p>
    <w:p>
      <w:pPr>
        <w:pStyle w:val="BodyText"/>
      </w:pPr>
      <w:r>
        <w:rPr>
          <w:b/>
          <w:bCs/>
        </w:rPr>
        <w:t xml:space="preserve">Result (Table 5, Figures 1–2):</w:t>
      </w:r>
      <w:r>
        <w:t xml:space="preserve"> </w:t>
      </w:r>
      <w:r>
        <w:t xml:space="preserve">LKina completed docking on</w:t>
      </w:r>
      <w:r>
        <w:t xml:space="preserve"> </w:t>
      </w:r>
      <w:r>
        <w:rPr>
          <w:b/>
          <w:bCs/>
        </w:rPr>
        <w:t xml:space="preserve">all 110/110</w:t>
      </w:r>
      <w:r>
        <w:t xml:space="preserve"> </w:t>
      </w:r>
      <w:r>
        <w:t xml:space="preserve">metal modes with finite scores. Vina 1.2.7, run on the</w:t>
      </w:r>
      <w:r>
        <w:t xml:space="preserve"> </w:t>
      </w:r>
      <w:r>
        <w:rPr>
          <w:i/>
          <w:iCs/>
        </w:rPr>
        <w:t xml:space="preserve">identical</w:t>
      </w:r>
      <w:r>
        <w:t xml:space="preserve"> </w:t>
      </w:r>
      <w:r>
        <w:t xml:space="preserve">receptor/ligand files (parsed without error), completed only</w:t>
      </w:r>
      <w:r>
        <w:t xml:space="preserve"> </w:t>
      </w:r>
      <w:r>
        <w:rPr>
          <w:b/>
          <w:bCs/>
        </w:rPr>
        <w:t xml:space="preserve">34/110</w:t>
      </w:r>
      <w:r>
        <w:t xml:space="preserve">; the remaining</w:t>
      </w:r>
      <w:r>
        <w:t xml:space="preserve"> </w:t>
      </w:r>
      <w:r>
        <w:rPr>
          <w:b/>
          <w:bCs/>
        </w:rPr>
        <w:t xml:space="preserve">76 modes fail at PDBQT parse time</w:t>
      </w:r>
      <w:r>
        <w:t xml:space="preserve"> </w:t>
      </w:r>
      <w:r>
        <w:t xml:space="preserve">with</w:t>
      </w:r>
      <w:r>
        <w:t xml:space="preserve"> </w:t>
      </w:r>
      <w:r>
        <w:rPr>
          <w:rStyle w:val="VerbatimChar"/>
        </w:rPr>
        <w:t xml:space="preserve">PDBQT parsing error: Atom type &lt;M&gt; is not a valid AutoDock type (atom types are case-sensitive)</w:t>
      </w:r>
      <w:r>
        <w:t xml:space="preserve">, because Vina’s 32-type XS system has no entries for the extended AD4 metal types (Pt, Pd, Ru, Ir, the lanthanides, Tc/Re/Os, Cd/Hg, most early TMs, etc.). This difference reflects a</w:t>
      </w:r>
      <w:r>
        <w:t xml:space="preserve"> </w:t>
      </w:r>
      <w:r>
        <w:rPr>
          <w:i/>
          <w:iCs/>
        </w:rPr>
        <w:t xml:space="preserve">type-system capability boundary</w:t>
      </w:r>
      <w:r>
        <w:t xml:space="preserve"> </w:t>
      </w:r>
      <w:r>
        <w:t xml:space="preserve">rather than a scoring difference: 76 of the 110 metal-coordination systems cannot be parsed by Vina at all. Across the 110 modes, LKina recovered the metal–donor distance to within 0.5 Å of</w:t>
      </w:r>
      <w:r>
        <w:t xml:space="preserve"> </w:t>
      </w:r>
      <m:oMath>
        <m:sSub>
          <m:e>
            <m:r>
              <m:t>d</m:t>
            </m:r>
          </m:e>
          <m:sub>
            <m:r>
              <m:t>0</m:t>
            </m:r>
          </m:sub>
        </m:sSub>
      </m:oMath>
      <w:r>
        <w:t xml:space="preserve"> </w:t>
      </w:r>
      <w:r>
        <w:t xml:space="preserve">on</w:t>
      </w:r>
      <w:r>
        <w:t xml:space="preserve"> </w:t>
      </w:r>
      <w:r>
        <w:rPr>
          <w:b/>
          <w:bCs/>
        </w:rPr>
        <w:t xml:space="preserve">108/110</w:t>
      </w:r>
      <w:r>
        <w:t xml:space="preserve"> </w:t>
      </w:r>
      <w:r>
        <w:t xml:space="preserve">(mean |d–d₀| = 0.20 Å, median 0.20 Å); 104/110 modes additionally show a measurable coordination potential well (E_ideal &lt; E_far + 0.3 kcal/mol). Coordination accuracy is broken down by pseudoatom class in Figure 2 (right): TZ (2 modes, mean |d–d₀| 0.22 Å), SQ (7, 0.24 Å), MH (95, 0.20 Å), JT (2, 0.19 Å), LIN (4, 0.14 Å). The synthetic systems deliberately lack a protein pocket, so these residuals are lower-bound estimates of coordination accuracy; real-system accuracy is established separately by the 4JC comparison (Section 3.3) and the PDB-derived Zn/Fe/Cu redocking datasets (Section 3.6).</w:t>
      </w:r>
    </w:p>
    <w:p>
      <w:pPr>
        <w:pStyle w:val="BodyText"/>
      </w:pPr>
      <w:r>
        <w:rPr>
          <w:b/>
          <w:bCs/>
        </w:rPr>
        <w:t xml:space="preserve">Table 5.</w:t>
      </w:r>
      <w:r>
        <w:t xml:space="preserve"> </w:t>
      </w:r>
      <w:r>
        <w:t xml:space="preserve">Metal-mode coverage and coordination recovery (110 synthetic systems, seed 42).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Engine</w:t>
            </w:r>
          </w:p>
        </w:tc>
        <w:tc>
          <w:tcPr/>
          <w:p>
            <w:pPr>
              <w:pStyle w:val="Compact"/>
            </w:pPr>
            <w:r>
              <w:t xml:space="preserve">Modes docked</w:t>
            </w:r>
          </w:p>
        </w:tc>
        <w:tc>
          <w:tcPr/>
          <w:p>
            <w:pPr>
              <w:pStyle w:val="Compact"/>
            </w:pPr>
            <w:r>
              <w:t xml:space="preserve">Failed at parse</w:t>
            </w:r>
          </w:p>
        </w:tc>
        <w:tc>
          <w:tcPr/>
          <w:p>
            <w:pPr>
              <w:pStyle w:val="Compact"/>
            </w:pPr>
            <w:r>
              <w:t xml:space="preserve">|d−d₀| &lt; 0.5 Å</w:t>
            </w:r>
          </w:p>
        </w:tc>
        <w:tc>
          <w:tcPr/>
          <w:p>
            <w:pPr>
              <w:pStyle w:val="Compact"/>
            </w:pPr>
            <w:r>
              <w:t xml:space="preserve">|d−d₀| &lt; 1.0 Å</w:t>
            </w:r>
          </w:p>
        </w:tc>
        <w:tc>
          <w:tcPr/>
          <w:p>
            <w:pPr>
              <w:pStyle w:val="Compact"/>
            </w:pPr>
            <w:r>
              <w:t xml:space="preserve">Mean |d−d₀| (Å)</w:t>
            </w:r>
          </w:p>
        </w:tc>
      </w:tr>
      <w:tr>
        <w:tc>
          <w:tcPr/>
          <w:p>
            <w:pPr>
              <w:pStyle w:val="Compact"/>
            </w:pPr>
            <w:r>
              <w:rPr>
                <w:b/>
                <w:bCs/>
              </w:rPr>
              <w:t xml:space="preserve">LKina</w:t>
            </w:r>
          </w:p>
        </w:tc>
        <w:tc>
          <w:tcPr/>
          <w:p>
            <w:pPr>
              <w:pStyle w:val="Compact"/>
            </w:pPr>
            <w:r>
              <w:rPr>
                <w:b/>
                <w:bCs/>
              </w:rPr>
              <w:t xml:space="preserve">110/110</w:t>
            </w:r>
          </w:p>
        </w:tc>
        <w:tc>
          <w:tcPr/>
          <w:p>
            <w:pPr>
              <w:pStyle w:val="Compact"/>
            </w:pPr>
            <w:r>
              <w:t xml:space="preserve">0</w:t>
            </w:r>
          </w:p>
        </w:tc>
        <w:tc>
          <w:tcPr/>
          <w:p>
            <w:pPr>
              <w:pStyle w:val="Compact"/>
            </w:pPr>
            <w:r>
              <w:rPr>
                <w:b/>
                <w:bCs/>
              </w:rPr>
              <w:t xml:space="preserve">108</w:t>
            </w:r>
          </w:p>
        </w:tc>
        <w:tc>
          <w:tcPr/>
          <w:p>
            <w:pPr>
              <w:pStyle w:val="Compact"/>
            </w:pPr>
            <w:r>
              <w:rPr>
                <w:b/>
                <w:bCs/>
              </w:rPr>
              <w:t xml:space="preserve">109</w:t>
            </w:r>
          </w:p>
        </w:tc>
        <w:tc>
          <w:tcPr/>
          <w:p>
            <w:pPr>
              <w:pStyle w:val="Compact"/>
            </w:pPr>
            <w:r>
              <w:rPr>
                <w:b/>
                <w:bCs/>
              </w:rPr>
              <w:t xml:space="preserve">0.20</w:t>
            </w:r>
          </w:p>
        </w:tc>
      </w:tr>
      <w:tr>
        <w:tc>
          <w:tcPr/>
          <w:p>
            <w:pPr>
              <w:pStyle w:val="Compact"/>
            </w:pPr>
            <w:r>
              <w:t xml:space="preserve">Vina 1.2.7</w:t>
            </w:r>
          </w:p>
        </w:tc>
        <w:tc>
          <w:tcPr/>
          <w:p>
            <w:pPr>
              <w:pStyle w:val="Compact"/>
            </w:pPr>
            <w:r>
              <w:t xml:space="preserve">34/110</w:t>
            </w:r>
          </w:p>
        </w:tc>
        <w:tc>
          <w:tcPr/>
          <w:p>
            <w:pPr>
              <w:pStyle w:val="Compact"/>
            </w:pPr>
            <w:r>
              <w:t xml:space="preserve">76</w:t>
            </w:r>
          </w:p>
        </w:tc>
        <w:tc>
          <w:tcPr/>
          <w:p>
            <w:pPr>
              <w:pStyle w:val="Compact"/>
            </w:pPr>
            <w:r>
              <w:t xml:space="preserve">—</w:t>
            </w:r>
          </w:p>
        </w:tc>
        <w:tc>
          <w:tcPr/>
          <w:p>
            <w:pPr>
              <w:pStyle w:val="Compact"/>
            </w:pPr>
            <w:r>
              <w:t xml:space="preserve">—</w:t>
            </w:r>
          </w:p>
        </w:tc>
        <w:tc>
          <w:tcPr/>
          <w:p>
            <w:pPr>
              <w:pStyle w:val="Compact"/>
            </w:pPr>
            <w:r>
              <w:t xml:space="preserve">0.62 (34 dockable)</w:t>
            </w:r>
          </w:p>
        </w:tc>
      </w:tr>
    </w:tbl>
    <w:p>
      <w:pPr>
        <w:pStyle w:val="CaptionedFigure"/>
      </w:pPr>
      <w:r>
        <w:drawing>
          <wp:inline>
            <wp:extent cx="5334000" cy="2188655"/>
            <wp:effectExtent b="0" l="0" r="0" t="0"/>
            <wp:docPr descr="Figure 1" title="" id="33" name="Picture"/>
            <a:graphic>
              <a:graphicData uri="http://schemas.openxmlformats.org/drawingml/2006/picture">
                <pic:pic>
                  <pic:nvPicPr>
                    <pic:cNvPr descr="figures/fig1_metal_coverage_110.png" id="34" name="Picture"/>
                    <pic:cNvPicPr>
                      <a:picLocks noChangeArrowheads="1" noChangeAspect="1"/>
                    </pic:cNvPicPr>
                  </pic:nvPicPr>
                  <pic:blipFill>
                    <a:blip r:embed="rId32"/>
                    <a:stretch>
                      <a:fillRect/>
                    </a:stretch>
                  </pic:blipFill>
                  <pic:spPr bwMode="auto">
                    <a:xfrm>
                      <a:off x="0" y="0"/>
                      <a:ext cx="5334000" cy="2188655"/>
                    </a:xfrm>
                    <a:prstGeom prst="rect">
                      <a:avLst/>
                    </a:prstGeom>
                    <a:noFill/>
                    <a:ln w="9525">
                      <a:noFill/>
                      <a:headEnd/>
                      <a:tailEnd/>
                    </a:ln>
                  </pic:spPr>
                </pic:pic>
              </a:graphicData>
            </a:graphic>
          </wp:inline>
        </w:drawing>
      </w:r>
    </w:p>
    <w:p>
      <w:pPr>
        <w:pStyle w:val="ImageCaption"/>
      </w:pPr>
      <w:r>
        <w:t xml:space="preserve">Figure 1</w:t>
      </w:r>
    </w:p>
    <w:p>
      <w:pPr>
        <w:pStyle w:val="Compact"/>
        <w:numPr>
          <w:ilvl w:val="0"/>
          <w:numId w:val="1008"/>
        </w:numPr>
      </w:pPr>
      <w:r>
        <w:rPr>
          <w:b/>
          <w:bCs/>
        </w:rPr>
        <w:t xml:space="preserve">Figure 1.</w:t>
      </w:r>
      <w:r>
        <w:t xml:space="preserve"> </w:t>
      </w:r>
      <w:r>
        <w:t xml:space="preserve">All-metal coverage (A) and Vina acceptance by metal family (B). LKina docks</w:t>
      </w:r>
      <w:r>
        <w:t xml:space="preserve"> </w:t>
      </w:r>
      <w:r>
        <w:rPr>
          <w:b/>
          <w:bCs/>
        </w:rPr>
        <w:t xml:space="preserve">110/110</w:t>
      </w:r>
      <w:r>
        <w:t xml:space="preserve"> </w:t>
      </w:r>
      <w:r>
        <w:t xml:space="preserve">metal modes; Vina 1.2.7 docks only</w:t>
      </w:r>
      <w:r>
        <w:t xml:space="preserve"> </w:t>
      </w:r>
      <w:r>
        <w:rPr>
          <w:b/>
          <w:bCs/>
        </w:rPr>
        <w:t xml:space="preserve">34/110</w:t>
      </w:r>
      <w:r>
        <w:t xml:space="preserve"> </w:t>
      </w:r>
      <w:r>
        <w:t xml:space="preserve">and rejects 76 at PDBQT parse (</w:t>
      </w:r>
      <w:r>
        <w:rPr>
          <w:rStyle w:val="VerbatimChar"/>
        </w:rPr>
        <w:t xml:space="preserve">Atom type &lt;M&gt; is not a valid AutoDock type</w:t>
      </w:r>
      <w:r>
        <w:t xml:space="preserve">). The breakdown by family shows that Vina accepts mostly biological TMs (Zn, Mg, Mn, Fe, Co, Ni, Cu) but rejects the entire medicinal / actinide / lanthanide / early-TM / metalloid spectrum.</w:t>
      </w:r>
    </w:p>
    <w:p>
      <w:pPr>
        <w:pStyle w:val="CaptionedFigure"/>
      </w:pPr>
      <w:r>
        <w:drawing>
          <wp:inline>
            <wp:extent cx="5334000" cy="2120463"/>
            <wp:effectExtent b="0" l="0" r="0" t="0"/>
            <wp:docPr descr="Figure 2" title="" id="36" name="Picture"/>
            <a:graphic>
              <a:graphicData uri="http://schemas.openxmlformats.org/drawingml/2006/picture">
                <pic:pic>
                  <pic:nvPicPr>
                    <pic:cNvPr descr="figures/fig2_coordination_geometry.png" id="37" name="Picture"/>
                    <pic:cNvPicPr>
                      <a:picLocks noChangeArrowheads="1" noChangeAspect="1"/>
                    </pic:cNvPicPr>
                  </pic:nvPicPr>
                  <pic:blipFill>
                    <a:blip r:embed="rId35"/>
                    <a:stretch>
                      <a:fillRect/>
                    </a:stretch>
                  </pic:blipFill>
                  <pic:spPr bwMode="auto">
                    <a:xfrm>
                      <a:off x="0" y="0"/>
                      <a:ext cx="5334000" cy="2120463"/>
                    </a:xfrm>
                    <a:prstGeom prst="rect">
                      <a:avLst/>
                    </a:prstGeom>
                    <a:noFill/>
                    <a:ln w="9525">
                      <a:noFill/>
                      <a:headEnd/>
                      <a:tailEnd/>
                    </a:ln>
                  </pic:spPr>
                </pic:pic>
              </a:graphicData>
            </a:graphic>
          </wp:inline>
        </w:drawing>
      </w:r>
    </w:p>
    <w:p>
      <w:pPr>
        <w:pStyle w:val="ImageCaption"/>
      </w:pPr>
      <w:r>
        <w:t xml:space="preserve">Figure 2</w:t>
      </w:r>
    </w:p>
    <w:p>
      <w:pPr>
        <w:pStyle w:val="Compact"/>
        <w:numPr>
          <w:ilvl w:val="0"/>
          <w:numId w:val="1009"/>
        </w:numPr>
      </w:pPr>
      <w:r>
        <w:rPr>
          <w:b/>
          <w:bCs/>
        </w:rPr>
        <w:t xml:space="preserve">Figure 2.</w:t>
      </w:r>
      <w:r>
        <w:t xml:space="preserve"> </w:t>
      </w:r>
      <w:r>
        <w:t xml:space="preserve">Coordination accuracy (A) and pseudoatom geometry check (B). (A) Histogram of |d(ligand–metal) − r_eq| over 110 modes (mean 0.20 Å, 108/110 within 0.5 Å). (B) Per-mode measured vs expected donor–metal distance for the four pseudoatom systems TZ/SQ/MH/JT; ideal-count / donors-checked annotations show every receptor donor classified as</w:t>
      </w:r>
      <w:r>
        <w:t xml:space="preserve"> </w:t>
      </w:r>
      <w:r>
        <w:t xml:space="preserve">“ideal”</w:t>
      </w:r>
      <w:r>
        <w:t xml:space="preserve"> </w:t>
      </w:r>
      <w:r>
        <w:t xml:space="preserve">or</w:t>
      </w:r>
      <w:r>
        <w:t xml:space="preserve"> </w:t>
      </w:r>
      <w:r>
        <w:t xml:space="preserve">“good”</w:t>
      </w:r>
      <w:r>
        <w:t xml:space="preserve"> </w:t>
      </w:r>
      <w:r>
        <w:t xml:space="preserve">against the mode-specific nbp r_eq.</w:t>
      </w:r>
    </w:p>
    <w:p>
      <w:pPr>
        <w:pStyle w:val="CaptionedFigure"/>
      </w:pPr>
      <w:r>
        <w:drawing>
          <wp:inline>
            <wp:extent cx="5334000" cy="2117141"/>
            <wp:effectExtent b="0" l="0" r="0" t="0"/>
            <wp:docPr descr="Figure S1" title="" id="39" name="Picture"/>
            <a:graphic>
              <a:graphicData uri="http://schemas.openxmlformats.org/drawingml/2006/picture">
                <pic:pic>
                  <pic:nvPicPr>
                    <pic:cNvPr descr="figures/figS1_energy_well_landscape.png" id="40" name="Picture"/>
                    <pic:cNvPicPr>
                      <a:picLocks noChangeArrowheads="1" noChangeAspect="1"/>
                    </pic:cNvPicPr>
                  </pic:nvPicPr>
                  <pic:blipFill>
                    <a:blip r:embed="rId38"/>
                    <a:stretch>
                      <a:fillRect/>
                    </a:stretch>
                  </pic:blipFill>
                  <pic:spPr bwMode="auto">
                    <a:xfrm>
                      <a:off x="0" y="0"/>
                      <a:ext cx="5334000" cy="2117141"/>
                    </a:xfrm>
                    <a:prstGeom prst="rect">
                      <a:avLst/>
                    </a:prstGeom>
                    <a:noFill/>
                    <a:ln w="9525">
                      <a:noFill/>
                      <a:headEnd/>
                      <a:tailEnd/>
                    </a:ln>
                  </pic:spPr>
                </pic:pic>
              </a:graphicData>
            </a:graphic>
          </wp:inline>
        </w:drawing>
      </w:r>
    </w:p>
    <w:p>
      <w:pPr>
        <w:pStyle w:val="ImageCaption"/>
      </w:pPr>
      <w:r>
        <w:t xml:space="preserve">Figure S1</w:t>
      </w:r>
    </w:p>
    <w:p>
      <w:pPr>
        <w:pStyle w:val="Compact"/>
        <w:numPr>
          <w:ilvl w:val="0"/>
          <w:numId w:val="1010"/>
        </w:numPr>
      </w:pPr>
      <w:r>
        <w:rPr>
          <w:b/>
          <w:bCs/>
        </w:rPr>
        <w:t xml:space="preserve">Figure S1.</w:t>
      </w:r>
      <w:r>
        <w:t xml:space="preserve"> </w:t>
      </w:r>
      <w:r>
        <w:t xml:space="preserve">Coordination-potential-well landscape across the complete 110-mode metal enum, stratified by pseudoatom class (TZ/SQ/LIN/MH/JT). Each dot is one synthetic metal-coordination system; dot area encodes the well depth (E_far − E_ideal). A well is confirmed in</w:t>
      </w:r>
      <w:r>
        <w:t xml:space="preserve"> </w:t>
      </w:r>
      <w:r>
        <w:rPr>
          <w:b/>
          <w:bCs/>
        </w:rPr>
        <w:t xml:space="preserve">104/110</w:t>
      </w:r>
      <w:r>
        <w:t xml:space="preserve"> </w:t>
      </w:r>
      <w:r>
        <w:t xml:space="preserve">systems (red); the remaining 6 systems (grey: four LIN, one TZ, and one MH edge case) show no well at the probed donor position and are analyzed in Section 3.3.</w:t>
      </w:r>
    </w:p>
    <w:bookmarkEnd w:id="41"/>
    <w:bookmarkStart w:id="42" w:name="engine-fixes-v1.0.2-post-review"/>
    <w:p>
      <w:pPr>
        <w:pStyle w:val="Heading3"/>
      </w:pPr>
      <w:r>
        <w:t xml:space="preserve">3.2.1 Engine fixes (v1.0.2, post-review)</w:t>
      </w:r>
    </w:p>
    <w:p>
      <w:pPr>
        <w:pStyle w:val="FirstParagraph"/>
      </w:pPr>
      <w:r>
        <w:t xml:space="preserve">Three engine-level defects were found during full benchmarking and fixed, with the corrected binary re-verified against the entire corpus (2026-08-28; validated line-by-line against the official AutoGrid source</w:t>
      </w:r>
      <w:r>
        <w:t xml:space="preserve"> </w:t>
      </w:r>
      <w:r>
        <w:rPr>
          <w:rStyle w:val="VerbatimChar"/>
        </w:rPr>
        <w:t xml:space="preserve">mainpost1.28.cpp</w:t>
      </w:r>
      <w:r>
        <w:t xml:space="preserve"> </w:t>
      </w:r>
      <w:r>
        <w:t xml:space="preserve">and the official AD4Zn.dat): (i)</w:t>
      </w:r>
      <w:r>
        <w:t xml:space="preserve"> </w:t>
      </w:r>
      <w:r>
        <w:rPr>
          <w:b/>
          <w:bCs/>
        </w:rPr>
        <w:t xml:space="preserve">missing epsilon weighting for</w:t>
      </w:r>
      <w:r>
        <w:rPr>
          <w:b/>
          <w:bCs/>
        </w:rPr>
        <w:t xml:space="preserve"> </w:t>
      </w:r>
      <w:r>
        <w:rPr>
          <w:rStyle w:val="VerbatimChar"/>
          <w:b/>
          <w:bCs/>
        </w:rPr>
        <w:t xml:space="preserve">nbp_r_eps</w:t>
      </w:r>
      <w:r>
        <w:rPr>
          <w:b/>
          <w:bCs/>
        </w:rPr>
        <w:t xml:space="preserve"> </w:t>
      </w:r>
      <w:r>
        <w:rPr>
          <w:b/>
          <w:bCs/>
        </w:rPr>
        <w:t xml:space="preserve">overrides</w:t>
      </w:r>
      <w:r>
        <w:t xml:space="preserve"> </w:t>
      </w:r>
      <w:r>
        <w:t xml:space="preserve">— real AutoGrid applies</w:t>
      </w:r>
      <w:r>
        <w:t xml:space="preserve"> </w:t>
      </w:r>
      <w:r>
        <w:rPr>
          <w:rStyle w:val="VerbatimChar"/>
        </w:rPr>
        <w:t xml:space="preserve">epsij *= AD4.coeff_vdW</w:t>
      </w:r>
      <w:r>
        <w:t xml:space="preserve"> </w:t>
      </w:r>
      <w:r>
        <w:t xml:space="preserve">when building maps (mainpost1.28.cpp:1786), so the official NA–TZ override (tabulated 23.2135) yields an actual well depth of −3.86 kcal/mol; LKina previously used the unweighted value, making the TZ well 6× too deep — now corrected to the official weighted semantics; (ii)</w:t>
      </w:r>
      <w:r>
        <w:t xml:space="preserve"> </w:t>
      </w:r>
      <w:r>
        <w:rPr>
          <w:b/>
          <w:bCs/>
        </w:rPr>
        <w:t xml:space="preserve">incorrect built-in TZ/SQ/MH/JT pseudoatom parameters</w:t>
      </w:r>
      <w:r>
        <w:t xml:space="preserve"> </w:t>
      </w:r>
      <w:r>
        <w:t xml:space="preserve">— the official AD4Zn.dat TZ entry is</w:t>
      </w:r>
      <w:r>
        <w:t xml:space="preserve"> </w:t>
      </w:r>
      <w:r>
        <w:rPr>
          <w:rStyle w:val="VerbatimChar"/>
        </w:rPr>
        <w:t xml:space="preserve">Rii=1.0, epsii=0.0</w:t>
      </w:r>
      <w:r>
        <w:t xml:space="preserve"> </w:t>
      </w:r>
      <w:r>
        <w:t xml:space="preserve">(no vdW interaction; all contacts flow through explicit nbp overrides), whereas LKina previously filled</w:t>
      </w:r>
      <w:r>
        <w:t xml:space="preserve"> </w:t>
      </w:r>
      <w:r>
        <w:rPr>
          <w:rStyle w:val="VerbatimChar"/>
        </w:rPr>
        <w:t xml:space="preserve">Rii=0.25, epsii=23.2</w:t>
      </w:r>
      <w:r>
        <w:t xml:space="preserve">, creating spurious wells for non-override probes — now set to the official neutral parameters; (iii)</w:t>
      </w:r>
      <w:r>
        <w:t xml:space="preserve"> </w:t>
      </w:r>
      <w:r>
        <w:rPr>
          <w:rStyle w:val="VerbatimChar"/>
          <w:b/>
          <w:bCs/>
        </w:rPr>
        <w:t xml:space="preserve">AG4_EINTCLAMP</w:t>
      </w:r>
      <w:r>
        <w:rPr>
          <w:b/>
          <w:bCs/>
        </w:rPr>
        <w:t xml:space="preserve"> </w:t>
      </w:r>
      <w:r>
        <w:rPr>
          <w:b/>
          <w:bCs/>
        </w:rPr>
        <w:t xml:space="preserve">semantics</w:t>
      </w:r>
      <w:r>
        <w:t xml:space="preserve"> </w:t>
      </w:r>
      <w:r>
        <w:t xml:space="preserve">— AutoGrid only clamps pairwise LJ table values from above (100000) and never clamps the summed map value; LKina’s previous ±1000 two-sided clamp was corrected accordingly. After the fix, metal-mode energies fall to the experimentally consistent scale: 3HS4 (CA II/AZM) crystal-pose zn score −23.9 → −11.3 kcal/mol (experiment ≈−10.8); 4JC global-docking best −34.9 → −11.5 kcal/mol; plain-AD4 and Vina compatibility is unaffected (1HVR −14.54 and 3PTB −6.202 kcal/mol still reproduce exactly). In addition, a</w:t>
      </w:r>
      <w:r>
        <w:t xml:space="preserve"> </w:t>
      </w:r>
      <w:r>
        <w:rPr>
          <w:rStyle w:val="VerbatimChar"/>
          <w:b/>
          <w:bCs/>
        </w:rPr>
        <w:t xml:space="preserve">--no_auto_metal</w:t>
      </w:r>
      <w:r>
        <w:rPr>
          <w:b/>
          <w:bCs/>
        </w:rPr>
        <w:t xml:space="preserve"> </w:t>
      </w:r>
      <w:r>
        <w:rPr>
          <w:b/>
          <w:bCs/>
        </w:rPr>
        <w:t xml:space="preserve">flag plus an always-visible stderr warning</w:t>
      </w:r>
      <w:r>
        <w:t xml:space="preserve"> </w:t>
      </w:r>
      <w:r>
        <w:t xml:space="preserve">(</w:t>
      </w:r>
      <w:r>
        <w:rPr>
          <w:rStyle w:val="VerbatimChar"/>
        </w:rPr>
        <w:t xml:space="preserve">main.cpp</w:t>
      </w:r>
      <w:r>
        <w:t xml:space="preserve">) makes auto-detection of metal modes from receptor/ligand PDBQT an opt-out behavior.</w:t>
      </w:r>
      <w:r>
        <w:t xml:space="preserve"> </w:t>
      </w:r>
      <w:r>
        <w:rPr>
          <w:b/>
          <w:bCs/>
        </w:rPr>
        <w:t xml:space="preserve">Note:</w:t>
      </w:r>
      <w:r>
        <w:t xml:space="preserve"> </w:t>
      </w:r>
      <w:r>
        <w:t xml:space="preserve">the −11.3 kcal/mol score reported above for 3HS4 is a re-scoring of the crystal pose (</w:t>
      </w:r>
      <w:r>
        <w:rPr>
          <w:rStyle w:val="VerbatimChar"/>
        </w:rPr>
        <w:t xml:space="preserve">--score_only</w:t>
      </w:r>
      <w:r>
        <w:t xml:space="preserve">), while Section 3.7 (Table 9) reports the global-docking best affinity of −13.32 kcal/mol for 3HS4 AD4+zn; the difference reflects the extra search freedom. Both values agree with the experimental affinity of ≈−10.8 kcal/mol to within 3 kcal/mol, consistent with the accuracy range reported for AutoDock4Zn.</w:t>
      </w:r>
    </w:p>
    <w:bookmarkEnd w:id="42"/>
    <w:bookmarkStart w:id="49" w:name="X0162420ff3365d3e4522a1a2c07fd710b254a53"/>
    <w:p>
      <w:pPr>
        <w:pStyle w:val="Heading3"/>
      </w:pPr>
      <w:r>
        <w:t xml:space="preserve">3.2.2 Feature-family measurements (pseudoatoms, BVS, water bridge, metal-as-ligand)</w:t>
      </w:r>
    </w:p>
    <w:p>
      <w:pPr>
        <w:pStyle w:val="FirstParagraph"/>
      </w:pPr>
      <w:r>
        <w:t xml:space="preserve">Beyond the coverage benchmark, every feature described in Section 2 was measured against a purpose-built synthetic system. Results appear in Figure 2 (right), Figure 3, and Figure 4 (B), and are summarized below.</w:t>
      </w:r>
    </w:p>
    <w:p>
      <w:pPr>
        <w:pStyle w:val="Compact"/>
        <w:numPr>
          <w:ilvl w:val="0"/>
          <w:numId w:val="1011"/>
        </w:numPr>
      </w:pPr>
      <w:r>
        <w:rPr>
          <w:b/>
          <w:bCs/>
        </w:rPr>
        <w:t xml:space="preserve">Pseudoatom systems (TZ/SQ/MH/JT)</w:t>
      </w:r>
      <w:r>
        <w:t xml:space="preserve"> </w:t>
      </w:r>
      <w:r>
        <w:t xml:space="preserve">validated by</w:t>
      </w:r>
      <w:r>
        <w:t xml:space="preserve"> </w:t>
      </w:r>
      <w:r>
        <w:rPr>
          <w:rStyle w:val="VerbatimChar"/>
        </w:rPr>
        <w:t xml:space="preserve">--metal_geometry_check</w:t>
      </w:r>
      <w:r>
        <w:t xml:space="preserve"> </w:t>
      </w:r>
      <w:r>
        <w:t xml:space="preserve">on five representative metals (zn → TZ, pt → SQ, fe → MH, cu2_jt → JT, mn3_jt → JT): every receptor donor was classified ideal or good against the mode-specific nbp</w:t>
      </w:r>
      <w:r>
        <w:t xml:space="preserve"> </w:t>
      </w:r>
      <m:oMath>
        <m:sSub>
          <m:e>
            <m:r>
              <m:t>r</m:t>
            </m:r>
          </m:e>
          <m:sub>
            <m:r>
              <m:t>e</m:t>
            </m:r>
            <m:r>
              <m:t>q</m:t>
            </m:r>
          </m:sub>
        </m:sSub>
      </m:oMath>
      <w:r>
        <w:t xml:space="preserve"> </w:t>
      </w:r>
      <w:r>
        <w:t xml:space="preserve">(3/3, 3/3, 5/5, 4/4, 4/4). Ideal-CN and vacancy counts are also reported.</w:t>
      </w:r>
    </w:p>
    <w:p>
      <w:pPr>
        <w:pStyle w:val="Compact"/>
        <w:numPr>
          <w:ilvl w:val="0"/>
          <w:numId w:val="1011"/>
        </w:numPr>
      </w:pPr>
      <w:r>
        <w:rPr>
          <w:b/>
          <w:bCs/>
        </w:rPr>
        <w:t xml:space="preserve">Bond-Valence-Sum oxidation-state inference</w:t>
      </w:r>
      <w:r>
        <w:t xml:space="preserve"> </w:t>
      </w:r>
      <w:r>
        <w:t xml:space="preserve">(Fe/Cu/Mn/Co/V/Mo/Ni, ±1 e⁻ variants):</w:t>
      </w:r>
      <w:r>
        <w:t xml:space="preserve"> </w:t>
      </w:r>
      <w:r>
        <w:rPr>
          <w:b/>
          <w:bCs/>
        </w:rPr>
        <w:t xml:space="preserve">14/14 designed cases</w:t>
      </w:r>
      <w:r>
        <w:t xml:space="preserve"> </w:t>
      </w:r>
      <w:r>
        <w:t xml:space="preserve">picked the correct oxidation state when</w:t>
      </w:r>
      <w:r>
        <w:t xml:space="preserve"> </w:t>
      </w:r>
      <w:r>
        <w:rPr>
          <w:rStyle w:val="VerbatimChar"/>
        </w:rPr>
        <w:t xml:space="preserve">--metal_mode</w:t>
      </w:r>
      <w:r>
        <w:t xml:space="preserve"> </w:t>
      </w:r>
      <w:r>
        <w:t xml:space="preserve">was not given (auto-detected from the receptor donor distribution via Brese &amp; O’Keeffe</w:t>
      </w:r>
      <w:r>
        <w:t xml:space="preserve"> </w:t>
      </w:r>
      <m:oMath>
        <m:sSub>
          <m:e>
            <m:r>
              <m:t>r</m:t>
            </m:r>
          </m:e>
          <m:sub>
            <m:r>
              <m:t>0</m:t>
            </m:r>
          </m:sub>
        </m:sSub>
      </m:oMath>
      <w:r>
        <w:t xml:space="preserve"> </w:t>
      </w:r>
      <w:r>
        <w:t xml:space="preserve">values).</w:t>
      </w:r>
    </w:p>
    <w:p>
      <w:pPr>
        <w:pStyle w:val="Compact"/>
        <w:numPr>
          <w:ilvl w:val="0"/>
          <w:numId w:val="1011"/>
        </w:numPr>
      </w:pPr>
      <w:r>
        <w:rPr>
          <w:b/>
          <w:bCs/>
        </w:rPr>
        <w:t xml:space="preserve">Semi-explicit water-bridge candidate sites</w:t>
      </w:r>
      <w:r>
        <w:t xml:space="preserve"> </w:t>
      </w:r>
      <w:r>
        <w:t xml:space="preserve">built and evaluated on an Mg system with 4 of 6 occupied octahedral sites (2 vacancies → 2 water-bridge sites, weight 0.90/0.70,</w:t>
      </w:r>
      <w:r>
        <w:t xml:space="preserve"> </w:t>
      </w:r>
      <m:oMath>
        <m:sSub>
          <m:e>
            <m:r>
              <m:t>d</m:t>
            </m:r>
          </m:e>
          <m:sub>
            <m:r>
              <m:rPr>
                <m:nor/>
                <m:sty m:val="p"/>
              </m:rPr>
              <m:t>water</m:t>
            </m:r>
          </m:sub>
        </m:sSub>
        <m:r>
          <m:rPr>
            <m:sty m:val="p"/>
          </m:rPr>
          <m:t>=</m:t>
        </m:r>
        <m:r>
          <m:t>2.80</m:t>
        </m:r>
      </m:oMath>
      <w:r>
        <w:t xml:space="preserve"> </w:t>
      </w:r>
      <w:r>
        <w:t xml:space="preserve">Å);</w:t>
      </w:r>
      <w:r>
        <w:t xml:space="preserve"> </w:t>
      </w:r>
      <w:r>
        <w:rPr>
          <w:rStyle w:val="VerbatimChar"/>
        </w:rPr>
        <w:t xml:space="preserve">METAL_WATER_E</w:t>
      </w:r>
      <w:r>
        <w:t xml:space="preserve"> </w:t>
      </w:r>
      <w:r>
        <w:t xml:space="preserve">(−0.000),</w:t>
      </w:r>
      <w:r>
        <w:t xml:space="preserve"> </w:t>
      </w:r>
      <w:r>
        <w:rPr>
          <w:rStyle w:val="VerbatimChar"/>
        </w:rPr>
        <w:t xml:space="preserve">METAL_GEO_E</w:t>
      </w:r>
      <w:r>
        <w:t xml:space="preserve"> </w:t>
      </w:r>
      <w:r>
        <w:t xml:space="preserve">(−0.090) and</w:t>
      </w:r>
      <w:r>
        <w:t xml:space="preserve"> </w:t>
      </w:r>
      <w:r>
        <w:rPr>
          <w:rStyle w:val="VerbatimChar"/>
        </w:rPr>
        <w:t xml:space="preserve">METAL_COORD: Mg donor=NA d=2.28 A</w:t>
      </w:r>
      <w:r>
        <w:t xml:space="preserve"> </w:t>
      </w:r>
      <w:r>
        <w:t xml:space="preserve">are all emitted in the docked pose.</w:t>
      </w:r>
    </w:p>
    <w:p>
      <w:pPr>
        <w:pStyle w:val="Compact"/>
        <w:numPr>
          <w:ilvl w:val="0"/>
          <w:numId w:val="1011"/>
        </w:numPr>
      </w:pPr>
      <w:r>
        <w:rPr>
          <w:b/>
          <w:bCs/>
        </w:rPr>
        <w:t xml:space="preserve">Metal-as-ligand geometry QC</w:t>
      </w:r>
      <w:r>
        <w:t xml:space="preserve"> </w:t>
      </w:r>
      <w:r>
        <w:t xml:space="preserve">(</w:t>
      </w:r>
      <w:r>
        <w:rPr>
          <w:rStyle w:val="VerbatimChar"/>
        </w:rPr>
        <w:t xml:space="preserve">--ligand_metal_geometry_weight</w:t>
      </w:r>
      <w:r>
        <w:t xml:space="preserve">) on a Pt(II) square-planar complex: the ideal geometry (N–Pt–N = 90°, 4/4 CN) reports a 0.003 kcal/mol geometry penalty; a deliberately distorted variant (N–Pt–N = 60°) reports 0.903 kcal/mol (≈ 300× higher) and would be flagged by a downstream filter.</w:t>
      </w:r>
    </w:p>
    <w:p>
      <w:pPr>
        <w:pStyle w:val="Compact"/>
        <w:numPr>
          <w:ilvl w:val="0"/>
          <w:numId w:val="1011"/>
        </w:numPr>
      </w:pPr>
      <w:r>
        <w:rPr>
          <w:b/>
          <w:bCs/>
        </w:rPr>
        <w:t xml:space="preserve">Analytical reactive gradients</w:t>
      </w:r>
      <w:r>
        <w:t xml:space="preserve"> </w:t>
      </w:r>
      <w:r>
        <w:t xml:space="preserve">verified by finite-difference</w:t>
      </w:r>
      <w:r>
        <w:t xml:space="preserve"> </w:t>
      </w:r>
      <w:r>
        <w:rPr>
          <w:rStyle w:val="VerbatimChar"/>
        </w:rPr>
        <w:t xml:space="preserve">--reactive_gradcheck</w:t>
      </w:r>
      <w:r>
        <w:t xml:space="preserve"> </w:t>
      </w:r>
      <w:r>
        <w:t xml:space="preserve">on all six presets: maximum |analytic − numeric| deviation</w:t>
      </w:r>
      <w:r>
        <w:t xml:space="preserve"> </w:t>
      </w:r>
      <w:r>
        <w:rPr>
          <w:b/>
          <w:bCs/>
        </w:rPr>
        <w:t xml:space="preserve">2.4 × 10⁻¹⁶–4.3 × 10⁻⁸</w:t>
      </w:r>
      <w:r>
        <w:t xml:space="preserve"> </w:t>
      </w:r>
      <w:r>
        <w:t xml:space="preserve">across the seven distance + angle force components per preset.</w:t>
      </w:r>
    </w:p>
    <w:p>
      <w:pPr>
        <w:pStyle w:val="CaptionedFigure"/>
      </w:pPr>
      <w:r>
        <w:drawing>
          <wp:inline>
            <wp:extent cx="3152313" cy="3233220"/>
            <wp:effectExtent b="0" l="0" r="0" t="0"/>
            <wp:docPr descr="Figure 3" title="" id="44" name="Picture"/>
            <a:graphic>
              <a:graphicData uri="http://schemas.openxmlformats.org/drawingml/2006/picture">
                <pic:pic>
                  <pic:nvPicPr>
                    <pic:cNvPr descr="figures/fig3_bvs_inference.png" id="45" name="Picture"/>
                    <pic:cNvPicPr>
                      <a:picLocks noChangeArrowheads="1" noChangeAspect="1"/>
                    </pic:cNvPicPr>
                  </pic:nvPicPr>
                  <pic:blipFill>
                    <a:blip r:embed="rId43"/>
                    <a:stretch>
                      <a:fillRect/>
                    </a:stretch>
                  </pic:blipFill>
                  <pic:spPr bwMode="auto">
                    <a:xfrm>
                      <a:off x="0" y="0"/>
                      <a:ext cx="3152313" cy="3233220"/>
                    </a:xfrm>
                    <a:prstGeom prst="rect">
                      <a:avLst/>
                    </a:prstGeom>
                    <a:noFill/>
                    <a:ln w="9525">
                      <a:noFill/>
                      <a:headEnd/>
                      <a:tailEnd/>
                    </a:ln>
                  </pic:spPr>
                </pic:pic>
              </a:graphicData>
            </a:graphic>
          </wp:inline>
        </w:drawing>
      </w:r>
    </w:p>
    <w:p>
      <w:pPr>
        <w:pStyle w:val="ImageCaption"/>
      </w:pPr>
      <w:r>
        <w:t xml:space="preserve">Figure 3</w:t>
      </w:r>
    </w:p>
    <w:p>
      <w:pPr>
        <w:pStyle w:val="Compact"/>
        <w:numPr>
          <w:ilvl w:val="0"/>
          <w:numId w:val="1012"/>
        </w:numPr>
      </w:pPr>
      <w:r>
        <w:rPr>
          <w:b/>
          <w:bCs/>
        </w:rPr>
        <w:t xml:space="preserve">Figure 3.</w:t>
      </w:r>
      <w:r>
        <w:t xml:space="preserve"> </w:t>
      </w:r>
      <w:r>
        <w:t xml:space="preserve">Bond-Valence-Sum (BVS) oxidation-state inference on 14 designed synthetic systems covering Fe²⁺/Fe³⁺, Cu⁺/Cu²⁺, Mn²⁺/Mn³⁺, Co²⁺/Co³⁺, V⁴⁺/V⁵⁺, Mo⁴⁺/Mo⁶⁺, Ni²⁺/Ni³⁺. The mode picked (auto-detected from the receptor donor distribution via</w:t>
      </w:r>
      <w:r>
        <w:t xml:space="preserve"> </w:t>
      </w:r>
      <w:r>
        <w:rPr>
          <w:rStyle w:val="VerbatimChar"/>
        </w:rPr>
        <w:t xml:space="preserve">ag4_bvs_pick_mode</w:t>
      </w:r>
      <w:r>
        <w:t xml:space="preserve">) matches the designed mode in all 14 cases.</w:t>
      </w:r>
    </w:p>
    <w:p>
      <w:pPr>
        <w:pStyle w:val="CaptionedFigure"/>
      </w:pPr>
      <w:r>
        <w:drawing>
          <wp:inline>
            <wp:extent cx="5334000" cy="2055656"/>
            <wp:effectExtent b="0" l="0" r="0" t="0"/>
            <wp:docPr descr="Figure 4" title="" id="47" name="Picture"/>
            <a:graphic>
              <a:graphicData uri="http://schemas.openxmlformats.org/drawingml/2006/picture">
                <pic:pic>
                  <pic:nvPicPr>
                    <pic:cNvPr descr="figures/fig4_maps_metal_ligand.png" id="48" name="Picture"/>
                    <pic:cNvPicPr>
                      <a:picLocks noChangeArrowheads="1" noChangeAspect="1"/>
                    </pic:cNvPicPr>
                  </pic:nvPicPr>
                  <pic:blipFill>
                    <a:blip r:embed="rId46"/>
                    <a:stretch>
                      <a:fillRect/>
                    </a:stretch>
                  </pic:blipFill>
                  <pic:spPr bwMode="auto">
                    <a:xfrm>
                      <a:off x="0" y="0"/>
                      <a:ext cx="5334000" cy="2055656"/>
                    </a:xfrm>
                    <a:prstGeom prst="rect">
                      <a:avLst/>
                    </a:prstGeom>
                    <a:noFill/>
                    <a:ln w="9525">
                      <a:noFill/>
                      <a:headEnd/>
                      <a:tailEnd/>
                    </a:ln>
                  </pic:spPr>
                </pic:pic>
              </a:graphicData>
            </a:graphic>
          </wp:inline>
        </w:drawing>
      </w:r>
    </w:p>
    <w:p>
      <w:pPr>
        <w:pStyle w:val="ImageCaption"/>
      </w:pPr>
      <w:r>
        <w:t xml:space="preserve">Figure 4</w:t>
      </w:r>
    </w:p>
    <w:p>
      <w:pPr>
        <w:pStyle w:val="Compact"/>
        <w:numPr>
          <w:ilvl w:val="0"/>
          <w:numId w:val="1013"/>
        </w:numPr>
      </w:pPr>
      <w:r>
        <w:rPr>
          <w:b/>
          <w:bCs/>
        </w:rPr>
        <w:t xml:space="preserve">Figure 4.</w:t>
      </w:r>
      <w:r>
        <w:t xml:space="preserve"> </w:t>
      </w:r>
      <w:r>
        <w:t xml:space="preserve">Inline AG4 grid generator (A) and metal-as-ligand geometry QC (B). (A)</w:t>
      </w:r>
      <w:r>
        <w:t xml:space="preserve"> </w:t>
      </w:r>
      <w:r>
        <w:rPr>
          <w:rStyle w:val="VerbatimChar"/>
        </w:rPr>
        <w:t xml:space="preserve">--generate_maps</w:t>
      </w:r>
      <w:r>
        <w:t xml:space="preserve"> </w:t>
      </w:r>
      <w:r>
        <w:t xml:space="preserve">writes</w:t>
      </w:r>
      <w:r>
        <w:t xml:space="preserve"> </w:t>
      </w:r>
      <w:r>
        <w:rPr>
          <w:b/>
          <w:bCs/>
        </w:rPr>
        <w:t xml:space="preserve">108</w:t>
      </w:r>
      <w:r>
        <w:t xml:space="preserve"> </w:t>
      </w:r>
      <w:r>
        <w:t xml:space="preserve">AutoGrid 4.2-format affinity maps (covering every AD4 probe type, including the TZ/SQ/MH/JT pseudoatoms) in one pass without invoking any external</w:t>
      </w:r>
      <w:r>
        <w:t xml:space="preserve"> </w:t>
      </w:r>
      <w:r>
        <w:rPr>
          <w:rStyle w:val="VerbatimChar"/>
        </w:rPr>
        <w:t xml:space="preserve">autogrid4</w:t>
      </w:r>
      <w:r>
        <w:t xml:space="preserve"> </w:t>
      </w:r>
      <w:r>
        <w:t xml:space="preserve">binary. (B) Pt(II) square-planar ligand docked with</w:t>
      </w:r>
      <w:r>
        <w:t xml:space="preserve"> </w:t>
      </w:r>
      <w:r>
        <w:rPr>
          <w:rStyle w:val="VerbatimChar"/>
        </w:rPr>
        <w:t xml:space="preserve">--ligand_metal_geometry_weight</w:t>
      </w:r>
      <w:r>
        <w:t xml:space="preserve">: the ideal 90° N–Pt–N / Cl–Pt–Cl complex scores a 0.003 kcal/mol geometry penalty; a 60° distorted variant scores 0.903 kcal/mol (×300) and would be flagged for rejection in a downstream filter.</w:t>
      </w:r>
    </w:p>
    <w:bookmarkEnd w:id="49"/>
    <w:bookmarkStart w:id="50" w:name="real-zn-metalloprotein-comparison-4jc"/>
    <w:p>
      <w:pPr>
        <w:pStyle w:val="Heading3"/>
      </w:pPr>
      <w:r>
        <w:t xml:space="preserve">3.3 Real Zn-metalloprotein comparison (4JC)</w:t>
      </w:r>
    </w:p>
    <w:p>
      <w:pPr>
        <w:pStyle w:val="FirstParagraph"/>
      </w:pPr>
      <w:r>
        <w:t xml:space="preserve">To test coordination accuracy in a realistic setting, we docked a 14-atom Zn-binding ligand (4JC305, a sulfonamide-like inhibitor) into the Zn metalloprotein 4JC (2,556 atoms including the catalytic Zn²⁺ at −3.38, 0.33, 85.49) under three engine configurations on identical grids (25 Å³, 0.375 Å, exhaustiveness 16, seed 42):</w:t>
      </w:r>
    </w:p>
    <w:p>
      <w:pPr>
        <w:pStyle w:val="BodyText"/>
      </w:pPr>
      <w:r>
        <w:rPr>
          <w:b/>
          <w:bCs/>
        </w:rPr>
        <w:t xml:space="preserve">Table 6.</w:t>
      </w:r>
      <w:r>
        <w:t xml:space="preserve"> </w:t>
      </w:r>
      <w:r>
        <w:t xml:space="preserve">Three-engine comparison on the real Zn-metalloprotein 4JC.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Engine configuration</w:t>
            </w:r>
          </w:p>
        </w:tc>
        <w:tc>
          <w:tcPr/>
          <w:p>
            <w:pPr>
              <w:pStyle w:val="Compact"/>
            </w:pPr>
            <w:r>
              <w:t xml:space="preserve">Best-mode score (kcal/mol)</w:t>
            </w:r>
          </w:p>
        </w:tc>
        <w:tc>
          <w:tcPr/>
          <w:p>
            <w:pPr>
              <w:pStyle w:val="Compact"/>
            </w:pPr>
            <w:r>
              <w:t xml:space="preserve">d(Zn–nearest donor)</w:t>
            </w:r>
          </w:p>
        </w:tc>
        <w:tc>
          <w:tcPr/>
          <w:p>
            <w:pPr>
              <w:pStyle w:val="Compact"/>
            </w:pPr>
            <w:r>
              <w:t xml:space="preserve">Coordination report</w:t>
            </w:r>
          </w:p>
        </w:tc>
      </w:tr>
      <w:tr>
        <w:tc>
          <w:tcPr/>
          <w:p>
            <w:pPr>
              <w:pStyle w:val="Compact"/>
            </w:pPr>
            <w:r>
              <w:rPr>
                <w:b/>
                <w:bCs/>
              </w:rPr>
              <w:t xml:space="preserve">LKina</w:t>
            </w:r>
            <w:r>
              <w:t xml:space="preserve"> </w:t>
            </w:r>
            <w:r>
              <w:t xml:space="preserve">AD4 +</w:t>
            </w:r>
            <w:r>
              <w:t xml:space="preserve"> </w:t>
            </w:r>
            <w:r>
              <w:rPr>
                <w:rStyle w:val="VerbatimChar"/>
              </w:rPr>
              <w:t xml:space="preserve">--metal_mode zn</w:t>
            </w:r>
          </w:p>
        </w:tc>
        <w:tc>
          <w:tcPr/>
          <w:p>
            <w:pPr>
              <w:pStyle w:val="Compact"/>
            </w:pPr>
            <w:r>
              <w:rPr>
                <w:b/>
                <w:bCs/>
              </w:rPr>
              <w:t xml:space="preserve">−11.51</w:t>
            </w:r>
          </w:p>
        </w:tc>
        <w:tc>
          <w:tcPr/>
          <w:p>
            <w:pPr>
              <w:pStyle w:val="Compact"/>
            </w:pPr>
            <w:r>
              <w:rPr>
                <w:b/>
                <w:bCs/>
              </w:rPr>
              <w:t xml:space="preserve">2.19 Å (ligand NA; nearest atom H at 1.89 Å)</w:t>
            </w:r>
          </w:p>
        </w:tc>
        <w:tc>
          <w:tcPr/>
          <w:p>
            <w:pPr>
              <w:pStyle w:val="Compact"/>
            </w:pPr>
            <w:r>
              <w:rPr>
                <w:rStyle w:val="VerbatimChar"/>
              </w:rPr>
              <w:t xml:space="preserve">METAL_COORD: Zn donor=NA d=2.19 A</w:t>
            </w:r>
            <w:r>
              <w:t xml:space="preserve"> </w:t>
            </w:r>
            <w:r>
              <w:t xml:space="preserve">+</w:t>
            </w:r>
            <w:r>
              <w:t xml:space="preserve"> </w:t>
            </w:r>
            <w:r>
              <w:rPr>
                <w:rStyle w:val="VerbatimChar"/>
              </w:rPr>
              <w:t xml:space="preserve">METAL_RERANK</w:t>
            </w:r>
            <w:r>
              <w:t xml:space="preserve">/</w:t>
            </w:r>
            <w:r>
              <w:rPr>
                <w:rStyle w:val="VerbatimChar"/>
              </w:rPr>
              <w:t xml:space="preserve">METAL_GEO_E</w:t>
            </w:r>
          </w:p>
        </w:tc>
      </w:tr>
      <w:tr>
        <w:tc>
          <w:tcPr/>
          <w:p>
            <w:pPr>
              <w:pStyle w:val="Compact"/>
            </w:pPr>
            <w:r>
              <w:t xml:space="preserve">Vina 1.2.7 (vina scoring)</w:t>
            </w:r>
          </w:p>
        </w:tc>
        <w:tc>
          <w:tcPr/>
          <w:p>
            <w:pPr>
              <w:pStyle w:val="Compact"/>
            </w:pPr>
            <w:r>
              <w:t xml:space="preserve">−6.39</w:t>
            </w:r>
          </w:p>
        </w:tc>
        <w:tc>
          <w:tcPr/>
          <w:p>
            <w:pPr>
              <w:pStyle w:val="Compact"/>
            </w:pPr>
            <w:r>
              <w:t xml:space="preserve">2.23 Å (ligand OA)</w:t>
            </w:r>
          </w:p>
        </w:tc>
        <w:tc>
          <w:tcPr/>
          <w:p>
            <w:pPr>
              <w:pStyle w:val="Compact"/>
            </w:pPr>
            <w:r>
              <w:t xml:space="preserve">none</w:t>
            </w:r>
          </w:p>
        </w:tc>
      </w:tr>
      <w:tr>
        <w:tc>
          <w:tcPr/>
          <w:p>
            <w:pPr>
              <w:pStyle w:val="Compact"/>
            </w:pPr>
            <w:r>
              <w:t xml:space="preserve">Vina 1.2.7 (AD4 + LKina-generated</w:t>
            </w:r>
            <w:r>
              <w:t xml:space="preserve"> </w:t>
            </w:r>
            <w:r>
              <w:rPr>
                <w:rStyle w:val="VerbatimChar"/>
              </w:rPr>
              <w:t xml:space="preserve">.map</w:t>
            </w:r>
            <w:r>
              <w:t xml:space="preserve"> </w:t>
            </w:r>
            <w:r>
              <w:t xml:space="preserve">files)</w:t>
            </w:r>
          </w:p>
        </w:tc>
        <w:tc>
          <w:tcPr/>
          <w:p>
            <w:pPr>
              <w:pStyle w:val="Compact"/>
            </w:pPr>
            <w:r>
              <w:t xml:space="preserve">−13.07</w:t>
            </w:r>
          </w:p>
        </w:tc>
        <w:tc>
          <w:tcPr/>
          <w:p>
            <w:pPr>
              <w:pStyle w:val="Compact"/>
            </w:pPr>
            <w:r>
              <w:t xml:space="preserve">2.23 Å (ligand OA)</w:t>
            </w:r>
          </w:p>
        </w:tc>
        <w:tc>
          <w:tcPr/>
          <w:p>
            <w:pPr>
              <w:pStyle w:val="Compact"/>
            </w:pPr>
            <w:r>
              <w:t xml:space="preserve">none</w:t>
            </w:r>
          </w:p>
        </w:tc>
      </w:tr>
    </w:tbl>
    <w:p>
      <w:pPr>
        <w:pStyle w:val="BodyText"/>
      </w:pPr>
      <w:r>
        <w:t xml:space="preserve">LKina is the only configuration that both (a) explicitly reports the metal coordination geometry and (b) positions a ligand</w:t>
      </w:r>
      <w:r>
        <w:t xml:space="preserve"> </w:t>
      </w:r>
      <w:r>
        <w:rPr>
          <w:b/>
          <w:bCs/>
        </w:rPr>
        <w:t xml:space="preserve">nitrogen</w:t>
      </w:r>
      <w:r>
        <w:t xml:space="preserve"> </w:t>
      </w:r>
      <w:r>
        <w:t xml:space="preserve">donor at the canonical Zn–N distance (~2.1 Å), precisely the geometry the inhibitor adopts in the crystal. Both Vina configurations place the nearest atom on a carboxylate oxygen (2.23 Å) and evaluate no coordination term. In particular, the Vina-AD4 row uses affinity maps generated by LKina’s inline AG4 engine, so the three rows share the same underlying AD4 force field; the differences therefore isolate the</w:t>
      </w:r>
      <w:r>
        <w:t xml:space="preserve"> </w:t>
      </w:r>
      <w:r>
        <w:rPr>
          <w:i/>
          <w:iCs/>
        </w:rPr>
        <w:t xml:space="preserve">metal-coordination modeling</w:t>
      </w:r>
      <w:r>
        <w:t xml:space="preserve"> </w:t>
      </w:r>
      <w:r>
        <w:t xml:space="preserve">contribution (pseudoatom injection + nbp overrides + rerank), not the grid generator. Two caveats apply: (i) LKina’s metal-mode score (−11.51 kcal/mol here) includes the genuine coordination contribution of the TZ potential and the Zn nbp overrides (≈2–4 kcal/mol deeper than plain AD4, corresponding to the physical Zn–ligand coordination energy); on the carbonic anhydrase II/AZM system the zn-mode score (−13.3) agrees with the experimental affinity (≈−10.8 kcal/mol) within &lt;3 kcal/mol, meeting the accuracy standard reported for AutoDock4Zn (Section 4.3). (ii) The receptor must be prepared without co-crystallized ligand atoms: the initially tested</w:t>
      </w:r>
      <w:r>
        <w:t xml:space="preserve"> </w:t>
      </w:r>
      <w:r>
        <w:rPr>
          <w:rStyle w:val="VerbatimChar"/>
        </w:rPr>
        <w:t xml:space="preserve">4JC_rec_zn_fixed.pdbqt</w:t>
      </w:r>
      <w:r>
        <w:t xml:space="preserve"> </w:t>
      </w:r>
      <w:r>
        <w:t xml:space="preserve">contained 1,349 UNL/UNK atoms that corrupted the absolute energies (Vina AD4 scored the same pose at +980 kcal/mol); the results reported here use the clean receptor (2,083 atoms).</w:t>
      </w:r>
    </w:p>
    <w:bookmarkEnd w:id="50"/>
    <w:bookmarkStart w:id="57" w:name="reactive-covalent-presets-66"/>
    <w:p>
      <w:pPr>
        <w:pStyle w:val="Heading3"/>
      </w:pPr>
      <w:r>
        <w:t xml:space="preserve">3.4 Reactive covalent presets (6/6)</w:t>
      </w:r>
    </w:p>
    <w:p>
      <w:pPr>
        <w:pStyle w:val="FirstParagraph"/>
      </w:pPr>
      <w:r>
        <w:t xml:space="preserve">All six reaction presets were exercised on synthetic receptor/ligand systems with the reactive pair pre-positioned at the ideal NAC geometry (receptor electrophile Cys-SG/Ser-OG/Lys-NZ/Tyr-OH at the origin with a CB frame atom; ligand nucleophile at the preset bond length</w:t>
      </w:r>
      <w:r>
        <w:t xml:space="preserve"> </w:t>
      </w:r>
      <m:oMath>
        <m:sSub>
          <m:e>
            <m:r>
              <m:t>r</m:t>
            </m:r>
          </m:e>
          <m:sub>
            <m:r>
              <m:t>0</m:t>
            </m:r>
          </m:sub>
        </m:sSub>
      </m:oMath>
      <w:r>
        <w:t xml:space="preserve">). Each preset was run in P1 (distance) and P1+P2 (distance + angle + gradient check) modes:</w:t>
      </w:r>
    </w:p>
    <w:p>
      <w:pPr>
        <w:pStyle w:val="BodyText"/>
      </w:pPr>
      <w:r>
        <w:rPr>
          <w:b/>
          <w:bCs/>
        </w:rPr>
        <w:t xml:space="preserve">Table 7.</w:t>
      </w:r>
      <w:r>
        <w:t xml:space="preserve"> </w:t>
      </w:r>
      <w:r>
        <w:t xml:space="preserve">NAC detection and reactive distance across the six reaction presets.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Preset</w:t>
            </w:r>
          </w:p>
        </w:tc>
        <w:tc>
          <w:tcPr/>
          <w:p>
            <w:pPr>
              <w:pStyle w:val="Compact"/>
            </w:pPr>
            <m:oMath>
              <m:sSub>
                <m:e>
                  <m:r>
                    <m:t>r</m:t>
                  </m:r>
                </m:e>
                <m:sub>
                  <m:r>
                    <m:t>0</m:t>
                  </m:r>
                </m:sub>
              </m:sSub>
            </m:oMath>
            <w:r>
              <w:t xml:space="preserve"> </w:t>
            </w:r>
            <w:r>
              <w:t xml:space="preserve">(Å)</w:t>
            </w:r>
          </w:p>
        </w:tc>
        <w:tc>
          <w:tcPr/>
          <w:p>
            <w:pPr>
              <w:pStyle w:val="Compact"/>
            </w:pPr>
            <m:oMath>
              <m:sSub>
                <m:e>
                  <m:r>
                    <m:t>θ</m:t>
                  </m:r>
                </m:e>
                <m:sub>
                  <m:r>
                    <m:t>0</m:t>
                  </m:r>
                </m:sub>
              </m:sSub>
            </m:oMath>
            <w:r>
              <w:t xml:space="preserve"> </w:t>
            </w:r>
            <w:r>
              <w:t xml:space="preserve">(°)</w:t>
            </w:r>
          </w:p>
        </w:tc>
        <w:tc>
          <w:tcPr/>
          <w:p>
            <w:pPr>
              <w:pStyle w:val="Compact"/>
            </w:pPr>
            <w:r>
              <w:t xml:space="preserve">P1 NAC</w:t>
            </w:r>
          </w:p>
        </w:tc>
        <w:tc>
          <w:tcPr/>
          <w:p>
            <w:pPr>
              <w:pStyle w:val="Compact"/>
            </w:pPr>
            <w:r>
              <w:t xml:space="preserve">P1+P2 NAC</w:t>
            </w:r>
          </w:p>
        </w:tc>
        <w:tc>
          <w:tcPr/>
          <w:p>
            <w:pPr>
              <w:pStyle w:val="Compact"/>
            </w:pPr>
            <w:r>
              <w:t xml:space="preserve">P1+P2 d (Å)</w:t>
            </w:r>
          </w:p>
        </w:tc>
        <w:tc>
          <w:tcPr/>
          <w:p>
            <w:pPr>
              <w:pStyle w:val="Compact"/>
            </w:pPr>
            <w:r>
              <w:t xml:space="preserve">P1+P2 angle (°)</w:t>
            </w:r>
          </w:p>
        </w:tc>
      </w:tr>
      <w:tr>
        <w:tc>
          <w:tcPr/>
          <w:p>
            <w:pPr>
              <w:pStyle w:val="Compact"/>
            </w:pPr>
            <w:r>
              <w:rPr>
                <w:rStyle w:val="VerbatimChar"/>
              </w:rPr>
              <w:t xml:space="preserve">cys_michael</w:t>
            </w:r>
          </w:p>
        </w:tc>
        <w:tc>
          <w:tcPr/>
          <w:p>
            <w:pPr>
              <w:pStyle w:val="Compact"/>
            </w:pPr>
            <w:r>
              <w:t xml:space="preserve">1.82</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2.26</w:t>
            </w:r>
          </w:p>
        </w:tc>
        <w:tc>
          <w:tcPr/>
          <w:p>
            <w:pPr>
              <w:pStyle w:val="Compact"/>
            </w:pPr>
            <w:r>
              <w:t xml:space="preserve">93.9</w:t>
            </w:r>
          </w:p>
        </w:tc>
      </w:tr>
      <w:tr>
        <w:tc>
          <w:tcPr/>
          <w:p>
            <w:pPr>
              <w:pStyle w:val="Compact"/>
            </w:pPr>
            <w:r>
              <w:rPr>
                <w:rStyle w:val="VerbatimChar"/>
              </w:rPr>
              <w:t xml:space="preserve">cys_sn2</w:t>
            </w:r>
          </w:p>
        </w:tc>
        <w:tc>
          <w:tcPr/>
          <w:p>
            <w:pPr>
              <w:pStyle w:val="Compact"/>
            </w:pPr>
            <w:r>
              <w:t xml:space="preserve">1.82</w:t>
            </w:r>
          </w:p>
        </w:tc>
        <w:tc>
          <w:tcPr/>
          <w:p>
            <w:pPr>
              <w:pStyle w:val="Compact"/>
            </w:pPr>
            <w:r>
              <w:t xml:space="preserve">180.0</w:t>
            </w:r>
          </w:p>
        </w:tc>
        <w:tc>
          <w:tcPr/>
          <w:p>
            <w:pPr>
              <w:pStyle w:val="Compact"/>
            </w:pPr>
            <w:r>
              <w:t xml:space="preserve">YES</w:t>
            </w:r>
          </w:p>
        </w:tc>
        <w:tc>
          <w:tcPr/>
          <w:p>
            <w:pPr>
              <w:pStyle w:val="Compact"/>
            </w:pPr>
            <w:r>
              <w:t xml:space="preserve">NO</w:t>
            </w:r>
          </w:p>
        </w:tc>
        <w:tc>
          <w:tcPr/>
          <w:p>
            <w:pPr>
              <w:pStyle w:val="Compact"/>
            </w:pPr>
            <w:r>
              <w:t xml:space="preserve">2.47</w:t>
            </w:r>
          </w:p>
        </w:tc>
        <w:tc>
          <w:tcPr/>
          <w:p>
            <w:pPr>
              <w:pStyle w:val="Compact"/>
            </w:pPr>
            <w:r>
              <w:t xml:space="preserve">108.3</w:t>
            </w:r>
          </w:p>
        </w:tc>
      </w:tr>
      <w:tr>
        <w:tc>
          <w:tcPr/>
          <w:p>
            <w:pPr>
              <w:pStyle w:val="Compact"/>
            </w:pPr>
            <w:r>
              <w:rPr>
                <w:rStyle w:val="VerbatimChar"/>
              </w:rPr>
              <w:t xml:space="preserve">ser_covalent</w:t>
            </w:r>
          </w:p>
        </w:tc>
        <w:tc>
          <w:tcPr/>
          <w:p>
            <w:pPr>
              <w:pStyle w:val="Compact"/>
            </w:pPr>
            <w:r>
              <w:t xml:space="preserve">1.34</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2.01</w:t>
            </w:r>
          </w:p>
        </w:tc>
        <w:tc>
          <w:tcPr/>
          <w:p>
            <w:pPr>
              <w:pStyle w:val="Compact"/>
            </w:pPr>
            <w:r>
              <w:t xml:space="preserve">99.1</w:t>
            </w:r>
          </w:p>
        </w:tc>
      </w:tr>
      <w:tr>
        <w:tc>
          <w:tcPr/>
          <w:p>
            <w:pPr>
              <w:pStyle w:val="Compact"/>
            </w:pPr>
            <w:r>
              <w:rPr>
                <w:rStyle w:val="VerbatimChar"/>
              </w:rPr>
              <w:t xml:space="preserve">lys_targeting</w:t>
            </w:r>
          </w:p>
        </w:tc>
        <w:tc>
          <w:tcPr/>
          <w:p>
            <w:pPr>
              <w:pStyle w:val="Compact"/>
            </w:pPr>
            <w:r>
              <w:t xml:space="preserve">1.47</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2.33</w:t>
            </w:r>
          </w:p>
        </w:tc>
        <w:tc>
          <w:tcPr/>
          <w:p>
            <w:pPr>
              <w:pStyle w:val="Compact"/>
            </w:pPr>
            <w:r>
              <w:t xml:space="preserve">94.1</w:t>
            </w:r>
          </w:p>
        </w:tc>
      </w:tr>
      <w:tr>
        <w:tc>
          <w:tcPr/>
          <w:p>
            <w:pPr>
              <w:pStyle w:val="Compact"/>
            </w:pPr>
            <w:r>
              <w:rPr>
                <w:rStyle w:val="VerbatimChar"/>
              </w:rPr>
              <w:t xml:space="preserve">boronic_acid</w:t>
            </w:r>
          </w:p>
        </w:tc>
        <w:tc>
          <w:tcPr/>
          <w:p>
            <w:pPr>
              <w:pStyle w:val="Compact"/>
            </w:pPr>
            <w:r>
              <w:t xml:space="preserve">1.47</w:t>
            </w:r>
          </w:p>
        </w:tc>
        <w:tc>
          <w:tcPr/>
          <w:p>
            <w:pPr>
              <w:pStyle w:val="Compact"/>
            </w:pPr>
            <w:r>
              <w:t xml:space="preserve">—</w:t>
            </w:r>
          </w:p>
        </w:tc>
        <w:tc>
          <w:tcPr/>
          <w:p>
            <w:pPr>
              <w:pStyle w:val="Compact"/>
            </w:pPr>
            <w:r>
              <w:t xml:space="preserve">YES</w:t>
            </w:r>
          </w:p>
        </w:tc>
        <w:tc>
          <w:tcPr/>
          <w:p>
            <w:pPr>
              <w:pStyle w:val="Compact"/>
            </w:pPr>
            <w:r>
              <w:t xml:space="preserve">NO</w:t>
            </w:r>
          </w:p>
        </w:tc>
        <w:tc>
          <w:tcPr/>
          <w:p>
            <w:pPr>
              <w:pStyle w:val="Compact"/>
            </w:pPr>
            <w:r>
              <w:t xml:space="preserve">2.71</w:t>
            </w:r>
          </w:p>
        </w:tc>
        <w:tc>
          <w:tcPr/>
          <w:p>
            <w:pPr>
              <w:pStyle w:val="Compact"/>
            </w:pPr>
            <w:r>
              <w:t xml:space="preserve">110.9</w:t>
            </w:r>
          </w:p>
        </w:tc>
      </w:tr>
      <w:tr>
        <w:tc>
          <w:tcPr/>
          <w:p>
            <w:pPr>
              <w:pStyle w:val="Compact"/>
            </w:pPr>
            <w:r>
              <w:rPr>
                <w:rStyle w:val="VerbatimChar"/>
              </w:rPr>
              <w:t xml:space="preserve">tyr_covalent</w:t>
            </w:r>
          </w:p>
        </w:tc>
        <w:tc>
          <w:tcPr/>
          <w:p>
            <w:pPr>
              <w:pStyle w:val="Compact"/>
            </w:pPr>
            <w:r>
              <w:t xml:space="preserve">1.38</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2.03</w:t>
            </w:r>
          </w:p>
        </w:tc>
        <w:tc>
          <w:tcPr/>
          <w:p>
            <w:pPr>
              <w:pStyle w:val="Compact"/>
            </w:pPr>
            <w:r>
              <w:t xml:space="preserve">100.8</w:t>
            </w:r>
          </w:p>
        </w:tc>
      </w:tr>
    </w:tbl>
    <w:p>
      <w:pPr>
        <w:pStyle w:val="BodyText"/>
      </w:pPr>
      <w:r>
        <w:t xml:space="preserve">All six presets completed both the P1 and P1+P2 runs (return code 0, finite scores). The two P1+P2</w:t>
      </w:r>
      <w:r>
        <w:t xml:space="preserve"> </w:t>
      </w:r>
      <w:r>
        <w:rPr>
          <w:rStyle w:val="VerbatimChar"/>
        </w:rPr>
        <w:t xml:space="preserve">NAC=NO</w:t>
      </w:r>
      <w:r>
        <w:t xml:space="preserve"> </w:t>
      </w:r>
      <w:r>
        <w:t xml:space="preserve">cases are informative rather than failures:</w:t>
      </w:r>
      <w:r>
        <w:t xml:space="preserve"> </w:t>
      </w:r>
      <w:r>
        <w:rPr>
          <w:rStyle w:val="VerbatimChar"/>
        </w:rPr>
        <w:t xml:space="preserve">cys_sn2</w:t>
      </w:r>
      <w:r>
        <w:t xml:space="preserve"> </w:t>
      </w:r>
      <w:r>
        <w:t xml:space="preserve">targets a 180° backside attack, which the synthetic approach geometry (nucleophile approaching at ~108°) does not satisfy, and</w:t>
      </w:r>
      <w:r>
        <w:t xml:space="preserve"> </w:t>
      </w:r>
      <w:r>
        <w:rPr>
          <w:rStyle w:val="VerbatimChar"/>
        </w:rPr>
        <w:t xml:space="preserve">boronic_acid</w:t>
      </w:r>
      <w:r>
        <w:t xml:space="preserve"> </w:t>
      </w:r>
      <w:r>
        <w:t xml:space="preserve">has no angle constraint by design and a slightly long 2.71 Å contact. The NAC detector correctly reports NO in both, demonstrating that it discriminates geometry rather than passing unconditionally.</w:t>
      </w:r>
    </w:p>
    <w:p>
      <w:pPr>
        <w:pStyle w:val="CaptionedFigure"/>
      </w:pPr>
      <w:r>
        <w:drawing>
          <wp:inline>
            <wp:extent cx="5334000" cy="1913531"/>
            <wp:effectExtent b="0" l="0" r="0" t="0"/>
            <wp:docPr descr="Figure 5" title="" id="52" name="Picture"/>
            <a:graphic>
              <a:graphicData uri="http://schemas.openxmlformats.org/drawingml/2006/picture">
                <pic:pic>
                  <pic:nvPicPr>
                    <pic:cNvPr descr="figures/fig5_covalent_framework.png" id="53" name="Picture"/>
                    <pic:cNvPicPr>
                      <a:picLocks noChangeArrowheads="1" noChangeAspect="1"/>
                    </pic:cNvPicPr>
                  </pic:nvPicPr>
                  <pic:blipFill>
                    <a:blip r:embed="rId51"/>
                    <a:stretch>
                      <a:fillRect/>
                    </a:stretch>
                  </pic:blipFill>
                  <pic:spPr bwMode="auto">
                    <a:xfrm>
                      <a:off x="0" y="0"/>
                      <a:ext cx="5334000" cy="1913531"/>
                    </a:xfrm>
                    <a:prstGeom prst="rect">
                      <a:avLst/>
                    </a:prstGeom>
                    <a:noFill/>
                    <a:ln w="9525">
                      <a:noFill/>
                      <a:headEnd/>
                      <a:tailEnd/>
                    </a:ln>
                  </pic:spPr>
                </pic:pic>
              </a:graphicData>
            </a:graphic>
          </wp:inline>
        </w:drawing>
      </w:r>
    </w:p>
    <w:p>
      <w:pPr>
        <w:pStyle w:val="ImageCaption"/>
      </w:pPr>
      <w:r>
        <w:t xml:space="preserve">Figure 5</w:t>
      </w:r>
    </w:p>
    <w:p>
      <w:pPr>
        <w:pStyle w:val="Compact"/>
        <w:numPr>
          <w:ilvl w:val="0"/>
          <w:numId w:val="1014"/>
        </w:numPr>
      </w:pPr>
      <w:r>
        <w:rPr>
          <w:b/>
          <w:bCs/>
        </w:rPr>
        <w:t xml:space="preserve">Figure 5.</w:t>
      </w:r>
      <w:r>
        <w:t xml:space="preserve"> </w:t>
      </w:r>
      <w:r>
        <w:t xml:space="preserve">Covalent framework (A–C). (A) All six reaction presets complete each of the four tiers P1 (distance), P1+P2 (angle), P4 (hybrid-vdW-scale sweep 0/0.5/1.0) and C3 (two-step search) on the engineered synthetic systems. (B) NAC detection discriminates geometrically: cys_michael / ser_covalent / lys_targeting / tyr_covalent report NAC=YES, cys_sn2 (180° backside attack not satisfied) and boronic_acid (no angle constraint set) report NAC=NO. (C) P1 distance potential scanned on the cys_michael preset: Gaussian well centered at</w:t>
      </w:r>
      <w:r>
        <w:t xml:space="preserve"> </w:t>
      </w:r>
      <m:oMath>
        <m:sSub>
          <m:e>
            <m:r>
              <m:t>r</m:t>
            </m:r>
          </m:e>
          <m:sub>
            <m:r>
              <m:t>0</m:t>
            </m:r>
          </m:sub>
        </m:sSub>
        <m:r>
          <m:rPr>
            <m:sty m:val="p"/>
          </m:rPr>
          <m:t>=</m:t>
        </m:r>
        <m:r>
          <m:t>1.82</m:t>
        </m:r>
      </m:oMath>
      <w:r>
        <w:t xml:space="preserve"> </w:t>
      </w:r>
      <w:r>
        <w:t xml:space="preserve">Å with depth 10 kcal/mol.</w:t>
      </w:r>
    </w:p>
    <w:p>
      <w:pPr>
        <w:pStyle w:val="CaptionedFigure"/>
      </w:pPr>
      <w:r>
        <w:drawing>
          <wp:inline>
            <wp:extent cx="3141628" cy="2592072"/>
            <wp:effectExtent b="0" l="0" r="0" t="0"/>
            <wp:docPr descr="Figure S2" title="" id="55" name="Picture"/>
            <a:graphic>
              <a:graphicData uri="http://schemas.openxmlformats.org/drawingml/2006/picture">
                <pic:pic>
                  <pic:nvPicPr>
                    <pic:cNvPr descr="figures/figS2_reactive_convergence.png" id="56" name="Picture"/>
                    <pic:cNvPicPr>
                      <a:picLocks noChangeArrowheads="1" noChangeAspect="1"/>
                    </pic:cNvPicPr>
                  </pic:nvPicPr>
                  <pic:blipFill>
                    <a:blip r:embed="rId54"/>
                    <a:stretch>
                      <a:fillRect/>
                    </a:stretch>
                  </pic:blipFill>
                  <pic:spPr bwMode="auto">
                    <a:xfrm>
                      <a:off x="0" y="0"/>
                      <a:ext cx="3141628" cy="2592072"/>
                    </a:xfrm>
                    <a:prstGeom prst="rect">
                      <a:avLst/>
                    </a:prstGeom>
                    <a:noFill/>
                    <a:ln w="9525">
                      <a:noFill/>
                      <a:headEnd/>
                      <a:tailEnd/>
                    </a:ln>
                  </pic:spPr>
                </pic:pic>
              </a:graphicData>
            </a:graphic>
          </wp:inline>
        </w:drawing>
      </w:r>
    </w:p>
    <w:p>
      <w:pPr>
        <w:pStyle w:val="ImageCaption"/>
      </w:pPr>
      <w:r>
        <w:t xml:space="preserve">Figure S2</w:t>
      </w:r>
    </w:p>
    <w:p>
      <w:pPr>
        <w:pStyle w:val="Compact"/>
        <w:numPr>
          <w:ilvl w:val="0"/>
          <w:numId w:val="1015"/>
        </w:numPr>
      </w:pPr>
      <w:r>
        <w:rPr>
          <w:b/>
          <w:bCs/>
        </w:rPr>
        <w:t xml:space="preserve">Figure S2.</w:t>
      </w:r>
      <w:r>
        <w:t xml:space="preserve"> </w:t>
      </w:r>
      <w:r>
        <w:t xml:space="preserve">Effect of the P2 angular constraint on pose geometry across the six reaction presets. Reactive distance from the P1-only search (grey) versus the P1+P2 search (red), with each preset’s ideal bond length r₀ marked in gold. Adding the angular term pulls the majority of presets toward chemically shorter, more ideal reactive distances.</w:t>
      </w:r>
    </w:p>
    <w:bookmarkEnd w:id="57"/>
    <w:bookmarkStart w:id="58" w:name="X32e97f80c6b109bf1c2cf5de749d8a56ca77ccb"/>
    <w:p>
      <w:pPr>
        <w:pStyle w:val="Heading3"/>
      </w:pPr>
      <w:r>
        <w:t xml:space="preserve">3.5 Backward compatibility: numerical identity with Vina 1.2.7</w:t>
      </w:r>
    </w:p>
    <w:p>
      <w:pPr>
        <w:pStyle w:val="FirstParagraph"/>
      </w:pPr>
      <w:r>
        <w:t xml:space="preserve">On two real organic complexes, 1HVR (HIV-1 protease, XK2 ligand) and 3PTB (trypsin, BEN ligand), LKina in standard mode (vina scoring, no metal flags) reproduces the Vina 1.2.7 mode-1 energies</w:t>
      </w:r>
      <w:r>
        <w:t xml:space="preserve"> </w:t>
      </w:r>
      <w:r>
        <w:rPr>
          <w:b/>
          <w:bCs/>
        </w:rPr>
        <w:t xml:space="preserve">exactly</w:t>
      </w:r>
      <w:r>
        <w:t xml:space="preserve"> </w:t>
      </w:r>
      <w:r>
        <w:t xml:space="preserve">(−14.54 vs −14.54 and −6.202 vs −6.202 kcal/mol) with identical boxes, exhaustiveness 16, and seed 42. This numerical identity confirms that LKina’s extensions are strictly additive: for metal-free, non-reactive receptors, the engine is a drop-in replacement for Vina 1.2.7.</w:t>
      </w:r>
    </w:p>
    <w:bookmarkEnd w:id="58"/>
    <w:bookmarkStart w:id="65" w:name="X4b6c05939e87d82818cadff584f9c3b840d032a"/>
    <w:p>
      <w:pPr>
        <w:pStyle w:val="Heading3"/>
      </w:pPr>
      <w:r>
        <w:t xml:space="preserve">3.6 Metalloprotein redocking benchmarks (measured datasets)</w:t>
      </w:r>
    </w:p>
    <w:p>
      <w:pPr>
        <w:pStyle w:val="FirstParagraph"/>
      </w:pPr>
      <w:r>
        <w:t xml:space="preserve">To complement the synthetic and single-system comparisons above, we ran a fully scripted redocking benchmark on PDB-derived metalloprotein complexes. Structures were obtained from the RCSB PDB (resolution ≤ 2.5 Å; entries containing the target metal ion and at least one organic ligand within 6 Å of any metal ion of that type); receptors (protein + metal ion, with waters and co-ligands removed) and rigid co-crystallized ligands were prepared with Open Babel 3.1; and each ligand was re-docked into its parent receptor with three engines under identical conditions (exhaustiveness 8, seed 42, one output mode, box = ligand bounding sphere + 6 Å, grid spacing 0.375 Å):</w:t>
      </w:r>
      <w:r>
        <w:t xml:space="preserve"> </w:t>
      </w:r>
      <w:r>
        <w:rPr>
          <w:b/>
          <w:bCs/>
        </w:rPr>
        <w:t xml:space="preserve">LKina AD4 + metal mode</w:t>
      </w:r>
      <w:r>
        <w:t xml:space="preserve"> </w:t>
      </w:r>
      <w:r>
        <w:t xml:space="preserve">(zn / fe3 / cu2_jt),</w:t>
      </w:r>
      <w:r>
        <w:t xml:space="preserve"> </w:t>
      </w:r>
      <w:r>
        <w:rPr>
          <w:b/>
          <w:bCs/>
        </w:rPr>
        <w:t xml:space="preserve">LKina AD4 standard</w:t>
      </w:r>
      <w:r>
        <w:t xml:space="preserve"> </w:t>
      </w:r>
      <w:r>
        <w:t xml:space="preserve">(</w:t>
      </w:r>
      <w:r>
        <w:rPr>
          <w:rStyle w:val="VerbatimChar"/>
        </w:rPr>
        <w:t xml:space="preserve">--no_auto_metal</w:t>
      </w:r>
      <w:r>
        <w:t xml:space="preserve">, i.e. the same engine without coordination terms), and</w:t>
      </w:r>
      <w:r>
        <w:t xml:space="preserve"> </w:t>
      </w:r>
      <w:r>
        <w:rPr>
          <w:b/>
          <w:bCs/>
        </w:rPr>
        <w:t xml:space="preserve">Vina 1.2.7</w:t>
      </w:r>
      <w:r>
        <w:t xml:space="preserve"> </w:t>
      </w:r>
      <w:r>
        <w:t xml:space="preserve">(default vina scoring). The pipeline, per-entry metadata, and raw poses are deposited in</w:t>
      </w:r>
      <w:r>
        <w:t xml:space="preserve"> </w:t>
      </w:r>
      <w:r>
        <w:rPr>
          <w:rStyle w:val="VerbatimChar"/>
        </w:rPr>
        <w:t xml:space="preserve">benchmarks/redock_benchmark/</w:t>
      </w:r>
      <w:r>
        <w:t xml:space="preserve">.</w:t>
      </w:r>
    </w:p>
    <w:p>
      <w:pPr>
        <w:pStyle w:val="BodyText"/>
      </w:pPr>
      <w:r>
        <w:t xml:space="preserve">Two metrics are reported: (i) the classical top-1 RMSD ≤ 2.0 Å success rate against the crystal pose (heavy atoms, direct correspondence without superposition); and (ii) the</w:t>
      </w:r>
      <w:r>
        <w:t xml:space="preserve"> </w:t>
      </w:r>
      <w:r>
        <w:rPr>
          <w:b/>
          <w:bCs/>
        </w:rPr>
        <w:t xml:space="preserve">donor–metal distance</w:t>
      </w:r>
      <w:r>
        <w:t xml:space="preserve">, the minimum distance from any ligand N/O/S heavy atom to the nearest receptor metal ion in the docked pose, which directly measures whether the search reproduces a coordination-competent geometry. The full cohort comprises</w:t>
      </w:r>
      <w:r>
        <w:t xml:space="preserve"> </w:t>
      </w:r>
      <w:r>
        <w:rPr>
          <w:b/>
          <w:bCs/>
        </w:rPr>
        <w:t xml:space="preserve">n = 104</w:t>
      </w:r>
      <w:r>
        <w:t xml:space="preserve"> </w:t>
      </w:r>
      <w:r>
        <w:t xml:space="preserve">systems (Zn²⁺ 22 / Fe³⁺ 47 / Cu²⁺ 35), the same corpus as in Figure 6; owing to each engine’s own parse/type constraints, some systems fail per engine, the denominators of the RMSD rows below are the attempted cohort per metal (Zn 22 / Fe 47 / Cu 35; RMSD could not be computed for 2 Zn and 1 Fe systems), whereas the denominators of the</w:t>
      </w:r>
      <w:r>
        <w:t xml:space="preserve"> </w:t>
      </w:r>
      <w:r>
        <w:t xml:space="preserve">“whole-cohort”</w:t>
      </w:r>
      <w:r>
        <w:t xml:space="preserve"> </w:t>
      </w:r>
      <w:r>
        <w:t xml:space="preserve">rows are each engine’s</w:t>
      </w:r>
      <w:r>
        <w:t xml:space="preserve"> </w:t>
      </w:r>
      <w:r>
        <w:rPr>
          <w:i/>
          <w:iCs/>
        </w:rPr>
        <w:t xml:space="preserve">dockable subset</w:t>
      </w:r>
      <w:r>
        <w:t xml:space="preserve"> </w:t>
      </w:r>
      <w:r>
        <w:t xml:space="preserve">(96 for LKina metal mode and Vina 1.2.7; 97 for LKina AD4 standard), so the comparison is same-protocol rather than forced-alignment:</w:t>
      </w:r>
    </w:p>
    <w:p>
      <w:pPr>
        <w:pStyle w:val="BodyText"/>
      </w:pPr>
      <w:r>
        <w:rPr>
          <w:b/>
          <w:bCs/>
        </w:rPr>
        <w:t xml:space="preserve">Table 8.</w:t>
      </w:r>
      <w:r>
        <w:t xml:space="preserve"> </w:t>
      </w:r>
      <w:r>
        <w:t xml:space="preserve">Metalloprotein redocking benchmark metrics (each engine’s own dockable subset).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LKina + metal mode</w:t>
            </w:r>
          </w:p>
        </w:tc>
        <w:tc>
          <w:tcPr/>
          <w:p>
            <w:pPr>
              <w:pStyle w:val="Compact"/>
            </w:pPr>
            <w:r>
              <w:t xml:space="preserve">LKina AD4 std</w:t>
            </w:r>
          </w:p>
        </w:tc>
        <w:tc>
          <w:tcPr/>
          <w:p>
            <w:pPr>
              <w:pStyle w:val="Compact"/>
            </w:pPr>
            <w:r>
              <w:t xml:space="preserve">Vina 1.2.7</w:t>
            </w:r>
          </w:p>
        </w:tc>
      </w:tr>
      <w:tr>
        <w:tc>
          <w:tcPr/>
          <w:p>
            <w:pPr>
              <w:pStyle w:val="Compact"/>
            </w:pPr>
            <w:r>
              <w:t xml:space="preserve">Zn²⁺ (n = 22), RMSD ≤ 2.0 Å</w:t>
            </w:r>
          </w:p>
        </w:tc>
        <w:tc>
          <w:tcPr/>
          <w:p>
            <w:pPr>
              <w:pStyle w:val="Compact"/>
            </w:pPr>
            <w:r>
              <w:t xml:space="preserve">0%</w:t>
            </w:r>
          </w:p>
        </w:tc>
        <w:tc>
          <w:tcPr/>
          <w:p>
            <w:pPr>
              <w:pStyle w:val="Compact"/>
            </w:pPr>
            <w:r>
              <w:t xml:space="preserve">18.2% (4)</w:t>
            </w:r>
          </w:p>
        </w:tc>
        <w:tc>
          <w:tcPr/>
          <w:p>
            <w:pPr>
              <w:pStyle w:val="Compact"/>
            </w:pPr>
            <w:r>
              <w:t xml:space="preserve">31.8% (7)</w:t>
            </w:r>
          </w:p>
        </w:tc>
      </w:tr>
      <w:tr>
        <w:tc>
          <w:tcPr/>
          <w:p>
            <w:pPr>
              <w:pStyle w:val="Compact"/>
            </w:pPr>
            <w:r>
              <w:t xml:space="preserve">Fe³⁺ (n = 47), RMSD ≤ 2.0 Å</w:t>
            </w:r>
          </w:p>
        </w:tc>
        <w:tc>
          <w:tcPr/>
          <w:p>
            <w:pPr>
              <w:pStyle w:val="Compact"/>
            </w:pPr>
            <w:r>
              <w:t xml:space="preserve">12.8% (6)</w:t>
            </w:r>
          </w:p>
        </w:tc>
        <w:tc>
          <w:tcPr/>
          <w:p>
            <w:pPr>
              <w:pStyle w:val="Compact"/>
            </w:pPr>
            <w:r>
              <w:t xml:space="preserve">10.6% (5)</w:t>
            </w:r>
          </w:p>
        </w:tc>
        <w:tc>
          <w:tcPr/>
          <w:p>
            <w:pPr>
              <w:pStyle w:val="Compact"/>
            </w:pPr>
            <w:r>
              <w:t xml:space="preserve">34.0% (16)</w:t>
            </w:r>
          </w:p>
        </w:tc>
      </w:tr>
      <w:tr>
        <w:tc>
          <w:tcPr/>
          <w:p>
            <w:pPr>
              <w:pStyle w:val="Compact"/>
            </w:pPr>
            <w:r>
              <w:t xml:space="preserve">Cu²⁺ (n = 35), RMSD ≤ 2.0 Å</w:t>
            </w:r>
          </w:p>
        </w:tc>
        <w:tc>
          <w:tcPr/>
          <w:p>
            <w:pPr>
              <w:pStyle w:val="Compact"/>
            </w:pPr>
            <w:r>
              <w:t xml:space="preserve">11.4% (4)</w:t>
            </w:r>
          </w:p>
        </w:tc>
        <w:tc>
          <w:tcPr/>
          <w:p>
            <w:pPr>
              <w:pStyle w:val="Compact"/>
            </w:pPr>
            <w:r>
              <w:t xml:space="preserve">2.9% (1)</w:t>
            </w:r>
          </w:p>
        </w:tc>
        <w:tc>
          <w:tcPr/>
          <w:p>
            <w:pPr>
              <w:pStyle w:val="Compact"/>
            </w:pPr>
            <w:r>
              <w:t xml:space="preserve">11.4% (4)</w:t>
            </w:r>
          </w:p>
        </w:tc>
      </w:tr>
      <w:tr>
        <w:tc>
          <w:tcPr/>
          <w:p>
            <w:pPr>
              <w:pStyle w:val="Compact"/>
            </w:pPr>
            <w:r>
              <w:t xml:space="preserve">All systems (n = 104): donor–metal median (Å)</w:t>
            </w:r>
          </w:p>
        </w:tc>
        <w:tc>
          <w:tcPr/>
          <w:p>
            <w:pPr>
              <w:pStyle w:val="Compact"/>
            </w:pPr>
            <w:r>
              <w:rPr>
                <w:b/>
                <w:bCs/>
              </w:rPr>
              <w:t xml:space="preserve">2.12</w:t>
            </w:r>
          </w:p>
        </w:tc>
        <w:tc>
          <w:tcPr/>
          <w:p>
            <w:pPr>
              <w:pStyle w:val="Compact"/>
            </w:pPr>
            <w:r>
              <w:t xml:space="preserve">3.83</w:t>
            </w:r>
          </w:p>
        </w:tc>
        <w:tc>
          <w:tcPr/>
          <w:p>
            <w:pPr>
              <w:pStyle w:val="Compact"/>
            </w:pPr>
            <w:r>
              <w:t xml:space="preserve">2.83</w:t>
            </w:r>
          </w:p>
        </w:tc>
      </w:tr>
      <w:tr>
        <w:tc>
          <w:tcPr/>
          <w:p>
            <w:pPr>
              <w:pStyle w:val="Compact"/>
            </w:pPr>
            <w:r>
              <w:t xml:space="preserve">All systems: donor–metal mean (Å)</w:t>
            </w:r>
          </w:p>
        </w:tc>
        <w:tc>
          <w:tcPr/>
          <w:p>
            <w:pPr>
              <w:pStyle w:val="Compact"/>
            </w:pPr>
            <w:r>
              <w:rPr>
                <w:b/>
                <w:bCs/>
              </w:rPr>
              <w:t xml:space="preserve">2.58</w:t>
            </w:r>
          </w:p>
        </w:tc>
        <w:tc>
          <w:tcPr/>
          <w:p>
            <w:pPr>
              <w:pStyle w:val="Compact"/>
            </w:pPr>
            <w:r>
              <w:t xml:space="preserve">4.51</w:t>
            </w:r>
          </w:p>
        </w:tc>
        <w:tc>
          <w:tcPr/>
          <w:p>
            <w:pPr>
              <w:pStyle w:val="Compact"/>
            </w:pPr>
            <w:r>
              <w:t xml:space="preserve">4.21</w:t>
            </w:r>
          </w:p>
        </w:tc>
      </w:tr>
      <w:tr>
        <w:tc>
          <w:tcPr/>
          <w:p>
            <w:pPr>
              <w:pStyle w:val="Compact"/>
            </w:pPr>
            <w:r>
              <w:t xml:space="preserve">All systems: donor within 3.0 Å of metal</w:t>
            </w:r>
          </w:p>
        </w:tc>
        <w:tc>
          <w:tcPr/>
          <w:p>
            <w:pPr>
              <w:pStyle w:val="Compact"/>
            </w:pPr>
            <w:r>
              <w:rPr>
                <w:b/>
                <w:bCs/>
              </w:rPr>
              <w:t xml:space="preserve">87/96 (90.6%)</w:t>
            </w:r>
          </w:p>
        </w:tc>
        <w:tc>
          <w:tcPr/>
          <w:p>
            <w:pPr>
              <w:pStyle w:val="Compact"/>
            </w:pPr>
            <w:r>
              <w:t xml:space="preserve">27/97 (27.8%)</w:t>
            </w:r>
          </w:p>
        </w:tc>
        <w:tc>
          <w:tcPr/>
          <w:p>
            <w:pPr>
              <w:pStyle w:val="Compact"/>
            </w:pPr>
            <w:r>
              <w:t xml:space="preserve">50/96 (52.1%)</w:t>
            </w:r>
          </w:p>
        </w:tc>
      </w:tr>
    </w:tbl>
    <w:p>
      <w:pPr>
        <w:pStyle w:val="CaptionedFigure"/>
      </w:pPr>
      <w:r>
        <w:drawing>
          <wp:inline>
            <wp:extent cx="5334000" cy="2178003"/>
            <wp:effectExtent b="0" l="0" r="0" t="0"/>
            <wp:docPr descr="Figure 6" title="" id="60" name="Picture"/>
            <a:graphic>
              <a:graphicData uri="http://schemas.openxmlformats.org/drawingml/2006/picture">
                <pic:pic>
                  <pic:nvPicPr>
                    <pic:cNvPr descr="figures/fig6_redock_benchmark.png" id="61" name="Picture"/>
                    <pic:cNvPicPr>
                      <a:picLocks noChangeArrowheads="1" noChangeAspect="1"/>
                    </pic:cNvPicPr>
                  </pic:nvPicPr>
                  <pic:blipFill>
                    <a:blip r:embed="rId59"/>
                    <a:stretch>
                      <a:fillRect/>
                    </a:stretch>
                  </pic:blipFill>
                  <pic:spPr bwMode="auto">
                    <a:xfrm>
                      <a:off x="0" y="0"/>
                      <a:ext cx="5334000" cy="2178003"/>
                    </a:xfrm>
                    <a:prstGeom prst="rect">
                      <a:avLst/>
                    </a:prstGeom>
                    <a:noFill/>
                    <a:ln w="9525">
                      <a:noFill/>
                      <a:headEnd/>
                      <a:tailEnd/>
                    </a:ln>
                  </pic:spPr>
                </pic:pic>
              </a:graphicData>
            </a:graphic>
          </wp:inline>
        </w:drawing>
      </w:r>
    </w:p>
    <w:p>
      <w:pPr>
        <w:pStyle w:val="ImageCaption"/>
      </w:pPr>
      <w:r>
        <w:t xml:space="preserve">Figure 6</w:t>
      </w:r>
    </w:p>
    <w:p>
      <w:pPr>
        <w:pStyle w:val="Compact"/>
        <w:numPr>
          <w:ilvl w:val="0"/>
          <w:numId w:val="1016"/>
        </w:numPr>
      </w:pPr>
      <w:r>
        <w:rPr>
          <w:b/>
          <w:bCs/>
        </w:rPr>
        <w:t xml:space="preserve">Figure 6.</w:t>
      </w:r>
      <w:r>
        <w:t xml:space="preserve"> </w:t>
      </w:r>
      <w:r>
        <w:t xml:space="preserve">PDB-derived redocking benchmark (Zn²⁺ n=22 / Fe³⁺ n=47 / Cu²⁺ n=35). (A) Top-1 RMSD ≤ 2.0 Å success and (B) fraction of systems whose best pose places a ligand N/O/S donor within 3.0 Å of the receptor metal, for LKina AD4 + metal mode, LKina AD4 (</w:t>
      </w:r>
      <w:r>
        <w:rPr>
          <w:rStyle w:val="VerbatimChar"/>
        </w:rPr>
        <w:t xml:space="preserve">--no_auto_metal</w:t>
      </w:r>
      <w:r>
        <w:t xml:space="preserve">), and Vina 1.2.7 under an identical preparation protocol. Regenerated by</w:t>
      </w:r>
      <w:r>
        <w:t xml:space="preserve"> </w:t>
      </w:r>
      <w:r>
        <w:rPr>
          <w:rStyle w:val="VerbatimChar"/>
        </w:rPr>
        <w:t xml:space="preserve">make_redock_figures.py</w:t>
      </w:r>
      <w:r>
        <w:t xml:space="preserve"> </w:t>
      </w:r>
      <w:r>
        <w:t xml:space="preserve">from the archived JSON results and docked poses.</w:t>
      </w:r>
    </w:p>
    <w:p>
      <w:pPr>
        <w:pStyle w:val="CaptionedFigure"/>
      </w:pPr>
      <w:r>
        <w:drawing>
          <wp:inline>
            <wp:extent cx="5334000" cy="2570816"/>
            <wp:effectExtent b="0" l="0" r="0" t="0"/>
            <wp:docPr descr="Figure 7" title="" id="63" name="Picture"/>
            <a:graphic>
              <a:graphicData uri="http://schemas.openxmlformats.org/drawingml/2006/picture">
                <pic:pic>
                  <pic:nvPicPr>
                    <pic:cNvPr descr="figures/fig7_donor_metal_distance.png" id="64" name="Picture"/>
                    <pic:cNvPicPr>
                      <a:picLocks noChangeArrowheads="1" noChangeAspect="1"/>
                    </pic:cNvPicPr>
                  </pic:nvPicPr>
                  <pic:blipFill>
                    <a:blip r:embed="rId62"/>
                    <a:stretch>
                      <a:fillRect/>
                    </a:stretch>
                  </pic:blipFill>
                  <pic:spPr bwMode="auto">
                    <a:xfrm>
                      <a:off x="0" y="0"/>
                      <a:ext cx="5334000" cy="2570816"/>
                    </a:xfrm>
                    <a:prstGeom prst="rect">
                      <a:avLst/>
                    </a:prstGeom>
                    <a:noFill/>
                    <a:ln w="9525">
                      <a:noFill/>
                      <a:headEnd/>
                      <a:tailEnd/>
                    </a:ln>
                  </pic:spPr>
                </pic:pic>
              </a:graphicData>
            </a:graphic>
          </wp:inline>
        </w:drawing>
      </w:r>
    </w:p>
    <w:p>
      <w:pPr>
        <w:pStyle w:val="ImageCaption"/>
      </w:pPr>
      <w:r>
        <w:t xml:space="preserve">Figure 7</w:t>
      </w:r>
    </w:p>
    <w:p>
      <w:pPr>
        <w:pStyle w:val="Compact"/>
        <w:numPr>
          <w:ilvl w:val="0"/>
          <w:numId w:val="1017"/>
        </w:numPr>
      </w:pPr>
      <w:r>
        <w:rPr>
          <w:b/>
          <w:bCs/>
        </w:rPr>
        <w:t xml:space="preserve">Figure 7.</w:t>
      </w:r>
      <w:r>
        <w:t xml:space="preserve"> </w:t>
      </w:r>
      <w:r>
        <w:t xml:space="preserve">Best-pose donor–metal minimum distance per system on the combined benchmark (n = 100 systems docked successfully by all three engines, Zn 20 / Fe 46 / Cu 34, the intersection used for like-for-like per-system comparison). LKina with the coordination model active keeps the best-pose ligand donor inside the 3.0 Å coordination sphere in 96% of systems (median 2.09 Å), versus 31% (median 3.73 Å) for the identical engine with</w:t>
      </w:r>
      <w:r>
        <w:t xml:space="preserve"> </w:t>
      </w:r>
      <w:r>
        <w:rPr>
          <w:rStyle w:val="VerbatimChar"/>
        </w:rPr>
        <w:t xml:space="preserve">--no_auto_metal</w:t>
      </w:r>
      <w:r>
        <w:t xml:space="preserve"> </w:t>
      </w:r>
      <w:r>
        <w:t xml:space="preserve">and 54% (median 2.74 Å) for Vina 1.2.7. The corresponding whole-set statistics over each engine’s own dockable subset are reported in Table §3.6 (medians 2.12 / 3.83 / 2.83 Å).</w:t>
      </w:r>
    </w:p>
    <w:p>
      <w:pPr>
        <w:pStyle w:val="FirstParagraph"/>
      </w:pPr>
      <w:r>
        <w:t xml:space="preserve">These measurements support three conclusions. First, the</w:t>
      </w:r>
      <w:r>
        <w:t xml:space="preserve"> </w:t>
      </w:r>
      <w:r>
        <w:rPr>
          <w:i/>
          <w:iCs/>
        </w:rPr>
        <w:t xml:space="preserve">coordination-geometry</w:t>
      </w:r>
      <w:r>
        <w:t xml:space="preserve"> </w:t>
      </w:r>
      <w:r>
        <w:t xml:space="preserve">effect claimed for</w:t>
      </w:r>
      <w:r>
        <w:t xml:space="preserve"> </w:t>
      </w:r>
      <w:r>
        <w:rPr>
          <w:rStyle w:val="VerbatimChar"/>
        </w:rPr>
        <w:t xml:space="preserve">metal_mode</w:t>
      </w:r>
      <w:r>
        <w:t xml:space="preserve"> </w:t>
      </w:r>
      <w:r>
        <w:t xml:space="preserve">is real and substantial: with the metal terms enabled, the best pose places a ligand donor within the receptor metal’s 3.0 Å coordination sphere in ~91% of systems (median distance 2.12 Å, consistent with canonical Zn–N / Fe–O / Cu–N bond lengths), versus ~28% for the same engine under</w:t>
      </w:r>
      <w:r>
        <w:t xml:space="preserve"> </w:t>
      </w:r>
      <w:r>
        <w:rPr>
          <w:rStyle w:val="VerbatimChar"/>
        </w:rPr>
        <w:t xml:space="preserve">--no_auto_metal</w:t>
      </w:r>
      <w:r>
        <w:t xml:space="preserve"> </w:t>
      </w:r>
      <w:r>
        <w:t xml:space="preserve">and ~52% for Vina’s electrostatics-driven scoring. For metalloenzyme applications this is the decisive metric, a functional pose must satisfy coordination chemistry.</w:t>
      </w:r>
    </w:p>
    <w:p>
      <w:pPr>
        <w:pStyle w:val="BodyText"/>
      </w:pPr>
      <w:r>
        <w:t xml:space="preserve">Second, we report the RMSD results candidly, including the unfavorable ones: under this lean preparation pipeline (Open Babel without protonation-state optimization, rigid receptor, exhaustiveness 8), all three engines achieve only moderate global pose-redocking success (Fe³⁺/Cu²⁺ ≤ 34%, Zn²⁺ ≤ 32%), and LKina metal mode does not improve global RMSD success over its own AD4 baseline on every subset. The absolute rates fall below those of literature redocking studies that use refined protonation workflows (AutoDockTools/Meeko with manual tuning) and higher exhaustiveness; a systematic comparison of preparation protocols is beyond the scope of this work. We therefore present the RMSD column as a like-for-like engine comparison under a single fixed protocol, and the donor–metal distance as the metric specific to the coordination-model claim.</w:t>
      </w:r>
      <w:r>
        <w:t xml:space="preserve"> </w:t>
      </w:r>
      <w:r>
        <w:rPr>
          <w:b/>
          <w:bCs/>
        </w:rPr>
        <w:t xml:space="preserve">On stochasticity:</w:t>
      </w:r>
      <w:r>
        <w:t xml:space="preserve"> </w:t>
      </w:r>
      <w:r>
        <w:t xml:space="preserve">the full cohort was run once at seed 42 for computational economy; seed sensitivity was quantified on representative systems (five seeds at exhaustiveness 8 give an affinity range of 0.010 kcal/mol on 3HS4 zn and 0.053 kcal/mol on 6OIM vina, Section 3.7), which bounds the stochastic contribution to score reproducibility but not to pose identity. Extending the multi-seed protocol (≥ 5 seeds with mean ± s.d. and paired statistics per system) to the entire cohort, together with top-1/3/5 success rates and per-mode analysis, is scheduled as the immediate next step and listed in Section 4.6.</w:t>
      </w:r>
    </w:p>
    <w:p>
      <w:pPr>
        <w:pStyle w:val="BodyText"/>
      </w:pPr>
      <w:r>
        <w:t xml:space="preserve">Third, all of these datasets are released in machine-readable JSON form together with the repository (</w:t>
      </w:r>
      <w:r>
        <w:rPr>
          <w:rStyle w:val="VerbatimChar"/>
        </w:rPr>
        <w:t xml:space="preserve">benchmarks/redock_benchmark/results/redock_{zn,fe,cu}_120.json</w:t>
      </w:r>
      <w:r>
        <w:t xml:space="preserve"> </w:t>
      </w:r>
      <w:r>
        <w:t xml:space="preserve">— the 120 in the file names is the size of the RCSB retrieval candidate pool; after screening, 104 systems were actually re-docked: Zn 22 / Fe 47 / Cu 35; together with</w:t>
      </w:r>
      <w:r>
        <w:t xml:space="preserve"> </w:t>
      </w:r>
      <w:r>
        <w:rPr>
          <w:rStyle w:val="VerbatimChar"/>
        </w:rPr>
        <w:t xml:space="preserve">redock_summary.json</w:t>
      </w:r>
      <w:r>
        <w:t xml:space="preserve"> </w:t>
      </w:r>
      <w:r>
        <w:t xml:space="preserve">and</w:t>
      </w:r>
      <w:r>
        <w:t xml:space="preserve"> </w:t>
      </w:r>
      <w:r>
        <w:rPr>
          <w:rStyle w:val="VerbatimChar"/>
        </w:rPr>
        <w:t xml:space="preserve">donor_metal_distance_summary.json</w:t>
      </w:r>
      <w:r>
        <w:t xml:space="preserve">), along with every input pose; apart from the RCSB download endpoint, every number above is reproducible without any external service.</w:t>
      </w:r>
    </w:p>
    <w:p>
      <w:pPr>
        <w:pStyle w:val="BodyText"/>
      </w:pPr>
      <w:r>
        <w:rPr>
          <w:i/>
          <w:iCs/>
        </w:rPr>
        <w:t xml:space="preserve">(Earlier preprints of this manuscript cited 292-/56-/41-complex benchmark suites following Santos-Martins et al. </w:t>
      </w:r>
      <w:r>
        <w:rPr>
          <w:vertAlign w:val="superscript"/>
          <w:sz w:val="18"/>
        </w:rPr>
        <w:t>[6]</w:t>
      </w:r>
      <w:r>
        <w:rPr>
          <w:i/>
          <w:iCs/>
        </w:rPr>
        <w:t xml:space="preserve">, as well as a 28-complex Cys-Michael covalent benchmark (P1+P2 64.3%, NAC 71.4%); all of these figures originate from the engine design document with no archived dataset, and have been replaced by the measured results above and by the six-preset synthetic end-to-end measurements of Section 3.4, respectively.)</w:t>
      </w:r>
    </w:p>
    <w:bookmarkEnd w:id="65"/>
    <w:bookmarkStart w:id="84" w:name="Xc9ee332463ffb3fde3abd5fa14478da3215453c"/>
    <w:p>
      <w:pPr>
        <w:pStyle w:val="Heading3"/>
      </w:pPr>
      <w:r>
        <w:t xml:space="preserve">3.7 Scoring-function comparison, parameter sweeps, and hotspot-target cases</w:t>
      </w:r>
    </w:p>
    <w:p>
      <w:pPr>
        <w:pStyle w:val="FirstParagraph"/>
      </w:pPr>
      <w:r>
        <w:t xml:space="preserve">Three families of stability and parameter-response measurements were run against the fixed binary (v1.0.2 engine; all scripts, JSON results, and raw poses are deposited in</w:t>
      </w:r>
      <w:r>
        <w:t xml:space="preserve"> </w:t>
      </w:r>
      <w:r>
        <w:rPr>
          <w:rStyle w:val="VerbatimChar"/>
        </w:rPr>
        <w:t xml:space="preserve">benchmarks/</w:t>
      </w:r>
      <w:r>
        <w:t xml:space="preserve">, with summary figures S5–S10).</w:t>
      </w:r>
    </w:p>
    <w:p>
      <w:pPr>
        <w:pStyle w:val="BodyText"/>
      </w:pPr>
      <w:r>
        <w:rPr>
          <w:b/>
          <w:bCs/>
        </w:rPr>
        <w:t xml:space="preserve">Scoring functions (Figure S5, Table 9).</w:t>
      </w:r>
      <w:r>
        <w:t xml:space="preserve"> </w:t>
      </w:r>
      <w:r>
        <w:t xml:space="preserve">Three representative systems were docked under vina, vinardo, and AD4 scoring at exhaustiveness 8 (5 modes requested, seed 42): the Zn metalloprotein 4JC (zn mode), the carbonic anhydrase II/AZM complex 3HS4 (zn mode), and the metal-free KRAS G12C covalent complex 6OIM (plain AD4); under AD4 scoring, 4JC and 6OIM actually produced 4 modes due to energy-range truncation:</w:t>
      </w:r>
    </w:p>
    <w:p>
      <w:pPr>
        <w:pStyle w:val="BodyText"/>
      </w:pPr>
      <w:r>
        <w:rPr>
          <w:b/>
          <w:bCs/>
        </w:rPr>
        <w:t xml:space="preserve">Table 9.</w:t>
      </w:r>
      <w:r>
        <w:t xml:space="preserve"> </w:t>
      </w:r>
      <w:r>
        <w:t xml:space="preserve">Scoring-function comparison (best-mode affinity; d(M) = best-pose distance to the nearest receptor metal).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Scoring</w:t>
            </w:r>
          </w:p>
        </w:tc>
        <w:tc>
          <w:tcPr/>
          <w:p>
            <w:pPr>
              <w:pStyle w:val="Compact"/>
            </w:pPr>
            <w:r>
              <w:t xml:space="preserve">Best affinity (kcal/mol)</w:t>
            </w:r>
          </w:p>
        </w:tc>
        <w:tc>
          <w:tcPr/>
          <w:p>
            <w:pPr>
              <w:pStyle w:val="Compact"/>
            </w:pPr>
            <w:r>
              <w:t xml:space="preserve">d(M) (Å)</w:t>
            </w:r>
          </w:p>
        </w:tc>
      </w:tr>
      <w:tr>
        <w:tc>
          <w:tcPr/>
          <w:p>
            <w:pPr>
              <w:pStyle w:val="Compact"/>
            </w:pPr>
            <w:r>
              <w:t xml:space="preserve">4JC (Zn)</w:t>
            </w:r>
          </w:p>
        </w:tc>
        <w:tc>
          <w:tcPr/>
          <w:p>
            <w:pPr>
              <w:pStyle w:val="Compact"/>
            </w:pPr>
            <w:r>
              <w:t xml:space="preserve">vina</w:t>
            </w:r>
          </w:p>
        </w:tc>
        <w:tc>
          <w:tcPr/>
          <w:p>
            <w:pPr>
              <w:pStyle w:val="Compact"/>
            </w:pPr>
            <w:r>
              <w:t xml:space="preserve">−5.80</w:t>
            </w:r>
          </w:p>
        </w:tc>
        <w:tc>
          <w:tcPr/>
          <w:p>
            <w:pPr>
              <w:pStyle w:val="Compact"/>
            </w:pPr>
            <w:r>
              <w:t xml:space="preserve">2.65</w:t>
            </w:r>
          </w:p>
        </w:tc>
      </w:tr>
      <w:tr>
        <w:tc>
          <w:tcPr/>
          <w:p>
            <w:pPr>
              <w:pStyle w:val="Compact"/>
            </w:pPr>
            <w:r>
              <w:t xml:space="preserve">4JC (Zn)</w:t>
            </w:r>
          </w:p>
        </w:tc>
        <w:tc>
          <w:tcPr/>
          <w:p>
            <w:pPr>
              <w:pStyle w:val="Compact"/>
            </w:pPr>
            <w:r>
              <w:t xml:space="preserve">vinardo</w:t>
            </w:r>
          </w:p>
        </w:tc>
        <w:tc>
          <w:tcPr/>
          <w:p>
            <w:pPr>
              <w:pStyle w:val="Compact"/>
            </w:pPr>
            <w:r>
              <w:t xml:space="preserve">−5.01</w:t>
            </w:r>
          </w:p>
        </w:tc>
        <w:tc>
          <w:tcPr/>
          <w:p>
            <w:pPr>
              <w:pStyle w:val="Compact"/>
            </w:pPr>
            <w:r>
              <w:rPr>
                <w:b/>
                <w:bCs/>
              </w:rPr>
              <w:t xml:space="preserve">12.46</w:t>
            </w:r>
          </w:p>
        </w:tc>
      </w:tr>
      <w:tr>
        <w:tc>
          <w:tcPr/>
          <w:p>
            <w:pPr>
              <w:pStyle w:val="Compact"/>
            </w:pPr>
            <w:r>
              <w:t xml:space="preserve">4JC (Zn)</w:t>
            </w:r>
          </w:p>
        </w:tc>
        <w:tc>
          <w:tcPr/>
          <w:p>
            <w:pPr>
              <w:pStyle w:val="Compact"/>
            </w:pPr>
            <w:r>
              <w:t xml:space="preserve">AD4 + zn</w:t>
            </w:r>
          </w:p>
        </w:tc>
        <w:tc>
          <w:tcPr/>
          <w:p>
            <w:pPr>
              <w:pStyle w:val="Compact"/>
            </w:pPr>
            <w:r>
              <w:rPr>
                <w:b/>
                <w:bCs/>
              </w:rPr>
              <w:t xml:space="preserve">−11.48</w:t>
            </w:r>
          </w:p>
        </w:tc>
        <w:tc>
          <w:tcPr/>
          <w:p>
            <w:pPr>
              <w:pStyle w:val="Compact"/>
            </w:pPr>
            <w:r>
              <w:rPr>
                <w:b/>
                <w:bCs/>
              </w:rPr>
              <w:t xml:space="preserve">1.83</w:t>
            </w:r>
          </w:p>
        </w:tc>
      </w:tr>
      <w:tr>
        <w:tc>
          <w:tcPr/>
          <w:p>
            <w:pPr>
              <w:pStyle w:val="Compact"/>
            </w:pPr>
            <w:r>
              <w:t xml:space="preserve">3HS4 (Zn)</w:t>
            </w:r>
          </w:p>
        </w:tc>
        <w:tc>
          <w:tcPr/>
          <w:p>
            <w:pPr>
              <w:pStyle w:val="Compact"/>
            </w:pPr>
            <w:r>
              <w:t xml:space="preserve">vina</w:t>
            </w:r>
          </w:p>
        </w:tc>
        <w:tc>
          <w:tcPr/>
          <w:p>
            <w:pPr>
              <w:pStyle w:val="Compact"/>
            </w:pPr>
            <w:r>
              <w:t xml:space="preserve">−5.56</w:t>
            </w:r>
          </w:p>
        </w:tc>
        <w:tc>
          <w:tcPr/>
          <w:p>
            <w:pPr>
              <w:pStyle w:val="Compact"/>
            </w:pPr>
            <w:r>
              <w:t xml:space="preserve">2.47</w:t>
            </w:r>
          </w:p>
        </w:tc>
      </w:tr>
      <w:tr>
        <w:tc>
          <w:tcPr/>
          <w:p>
            <w:pPr>
              <w:pStyle w:val="Compact"/>
            </w:pPr>
            <w:r>
              <w:t xml:space="preserve">3HS4 (Zn)</w:t>
            </w:r>
          </w:p>
        </w:tc>
        <w:tc>
          <w:tcPr/>
          <w:p>
            <w:pPr>
              <w:pStyle w:val="Compact"/>
            </w:pPr>
            <w:r>
              <w:t xml:space="preserve">vinardo</w:t>
            </w:r>
          </w:p>
        </w:tc>
        <w:tc>
          <w:tcPr/>
          <w:p>
            <w:pPr>
              <w:pStyle w:val="Compact"/>
            </w:pPr>
            <w:r>
              <w:t xml:space="preserve">−3.83</w:t>
            </w:r>
          </w:p>
        </w:tc>
        <w:tc>
          <w:tcPr/>
          <w:p>
            <w:pPr>
              <w:pStyle w:val="Compact"/>
            </w:pPr>
            <w:r>
              <w:t xml:space="preserve">2.20</w:t>
            </w:r>
          </w:p>
        </w:tc>
      </w:tr>
      <w:tr>
        <w:tc>
          <w:tcPr/>
          <w:p>
            <w:pPr>
              <w:pStyle w:val="Compact"/>
            </w:pPr>
            <w:r>
              <w:t xml:space="preserve">3HS4 (Zn)</w:t>
            </w:r>
          </w:p>
        </w:tc>
        <w:tc>
          <w:tcPr/>
          <w:p>
            <w:pPr>
              <w:pStyle w:val="Compact"/>
            </w:pPr>
            <w:r>
              <w:t xml:space="preserve">AD4 + zn</w:t>
            </w:r>
          </w:p>
        </w:tc>
        <w:tc>
          <w:tcPr/>
          <w:p>
            <w:pPr>
              <w:pStyle w:val="Compact"/>
            </w:pPr>
            <w:r>
              <w:rPr>
                <w:b/>
                <w:bCs/>
              </w:rPr>
              <w:t xml:space="preserve">−13.32</w:t>
            </w:r>
          </w:p>
        </w:tc>
        <w:tc>
          <w:tcPr/>
          <w:p>
            <w:pPr>
              <w:pStyle w:val="Compact"/>
            </w:pPr>
            <w:r>
              <w:rPr>
                <w:b/>
                <w:bCs/>
              </w:rPr>
              <w:t xml:space="preserve">2.08</w:t>
            </w:r>
          </w:p>
        </w:tc>
      </w:tr>
      <w:tr>
        <w:tc>
          <w:tcPr/>
          <w:p>
            <w:pPr>
              <w:pStyle w:val="Compact"/>
            </w:pPr>
            <w:r>
              <w:t xml:space="preserve">6OIM (metal-free)</w:t>
            </w:r>
          </w:p>
        </w:tc>
        <w:tc>
          <w:tcPr/>
          <w:p>
            <w:pPr>
              <w:pStyle w:val="Compact"/>
            </w:pPr>
            <w:r>
              <w:t xml:space="preserve">vina</w:t>
            </w:r>
          </w:p>
        </w:tc>
        <w:tc>
          <w:tcPr/>
          <w:p>
            <w:pPr>
              <w:pStyle w:val="Compact"/>
            </w:pPr>
            <w:r>
              <w:rPr>
                <w:b/>
                <w:bCs/>
              </w:rPr>
              <w:t xml:space="preserve">−9.43</w:t>
            </w:r>
          </w:p>
        </w:tc>
        <w:tc>
          <w:tcPr/>
          <w:p>
            <w:pPr>
              <w:pStyle w:val="Compact"/>
            </w:pPr>
            <w:r>
              <w:t xml:space="preserve">—</w:t>
            </w:r>
          </w:p>
        </w:tc>
      </w:tr>
      <w:tr>
        <w:tc>
          <w:tcPr/>
          <w:p>
            <w:pPr>
              <w:pStyle w:val="Compact"/>
            </w:pPr>
            <w:r>
              <w:t xml:space="preserve">6OIM (metal-free)</w:t>
            </w:r>
          </w:p>
        </w:tc>
        <w:tc>
          <w:tcPr/>
          <w:p>
            <w:pPr>
              <w:pStyle w:val="Compact"/>
            </w:pPr>
            <w:r>
              <w:t xml:space="preserve">vinardo</w:t>
            </w:r>
          </w:p>
        </w:tc>
        <w:tc>
          <w:tcPr/>
          <w:p>
            <w:pPr>
              <w:pStyle w:val="Compact"/>
            </w:pPr>
            <w:r>
              <w:t xml:space="preserve">−5.49</w:t>
            </w:r>
          </w:p>
        </w:tc>
        <w:tc>
          <w:tcPr/>
          <w:p>
            <w:pPr>
              <w:pStyle w:val="Compact"/>
            </w:pPr>
            <w:r>
              <w:t xml:space="preserve">—</w:t>
            </w:r>
          </w:p>
        </w:tc>
      </w:tr>
      <w:tr>
        <w:tc>
          <w:tcPr/>
          <w:p>
            <w:pPr>
              <w:pStyle w:val="Compact"/>
            </w:pPr>
            <w:r>
              <w:t xml:space="preserve">6OIM (metal-free)</w:t>
            </w:r>
          </w:p>
        </w:tc>
        <w:tc>
          <w:tcPr/>
          <w:p>
            <w:pPr>
              <w:pStyle w:val="Compact"/>
            </w:pPr>
            <w:r>
              <w:t xml:space="preserve">AD4</w:t>
            </w:r>
          </w:p>
        </w:tc>
        <w:tc>
          <w:tcPr/>
          <w:p>
            <w:pPr>
              <w:pStyle w:val="Compact"/>
            </w:pPr>
            <w:r>
              <w:t xml:space="preserve">−19.30</w:t>
            </w:r>
          </w:p>
        </w:tc>
        <w:tc>
          <w:tcPr/>
          <w:p>
            <w:pPr>
              <w:pStyle w:val="Compact"/>
            </w:pPr>
            <w:r>
              <w:t xml:space="preserve">—</w:t>
            </w:r>
          </w:p>
        </w:tc>
      </w:tr>
    </w:tbl>
    <w:p>
      <w:pPr>
        <w:pStyle w:val="BodyText"/>
      </w:pPr>
      <w:r>
        <w:t xml:space="preserve">On the metal systems, AD4 + metal mode pulls the best pose into true Zn-coordination distance (1.8–2.2 Å), whereas vina/vinardo — whose potentials contain no coordination term — leave the 4JC best pose</w:t>
      </w:r>
      <w:r>
        <w:t xml:space="preserve"> </w:t>
      </w:r>
      <w:r>
        <w:rPr>
          <w:b/>
          <w:bCs/>
        </w:rPr>
        <w:t xml:space="preserve">12.5 Å</w:t>
      </w:r>
      <w:r>
        <w:t xml:space="preserve"> </w:t>
      </w:r>
      <w:r>
        <w:t xml:space="preserve">away from Zn²⁺: a quantitative demonstration that metal-coordination docking cannot be substituted by a generic scoring function. On the metal-free 6OIM system all three functions behave normally, confirming that the metal machinery does not interfere with standard use.</w:t>
      </w:r>
    </w:p>
    <w:p>
      <w:pPr>
        <w:pStyle w:val="BodyText"/>
      </w:pPr>
      <w:r>
        <w:rPr>
          <w:b/>
          <w:bCs/>
        </w:rPr>
        <w:t xml:space="preserve">Search-protocol stability (Figures S6–S7).</w:t>
      </w:r>
      <w:r>
        <w:t xml:space="preserve"> </w:t>
      </w:r>
      <w:r>
        <w:t xml:space="preserve">Across exhaustiveness 1–32 on 3HS4 (zn mode, 3 seeds each), the best-affinity standard deviation falls to</w:t>
      </w:r>
      <w:r>
        <w:t xml:space="preserve"> </w:t>
      </w:r>
      <w:r>
        <w:rPr>
          <w:b/>
          <w:bCs/>
        </w:rPr>
        <w:t xml:space="preserve">σ ≈ 0.003 kcal/mol at exhaustiveness 8</w:t>
      </w:r>
      <w:r>
        <w:t xml:space="preserve"> </w:t>
      </w:r>
      <w:r>
        <w:t xml:space="preserve">(and remains ≤ 0.010 even at exhaustiveness 1), while runtime grows near-linearly — the default exhaustiveness 8 is well past the convergence knee. Five-seed variance at exhaustiveness 8 is</w:t>
      </w:r>
      <w:r>
        <w:t xml:space="preserve"> </w:t>
      </w:r>
      <w:r>
        <w:rPr>
          <w:b/>
          <w:bCs/>
        </w:rPr>
        <w:t xml:space="preserve">0.010 kcal/mol</w:t>
      </w:r>
      <w:r>
        <w:t xml:space="preserve"> </w:t>
      </w:r>
      <w:r>
        <w:t xml:space="preserve">(3HS4, zn) and</w:t>
      </w:r>
      <w:r>
        <w:t xml:space="preserve"> </w:t>
      </w:r>
      <w:r>
        <w:rPr>
          <w:b/>
          <w:bCs/>
        </w:rPr>
        <w:t xml:space="preserve">0.053 kcal/mol</w:t>
      </w:r>
      <w:r>
        <w:t xml:space="preserve"> </w:t>
      </w:r>
      <w:r>
        <w:t xml:space="preserve">(6OIM, vina), both orders of magnitude below the ~1 kcal/mol accuracy of any current scoring function; single-seed results are therefore reproducible at the scoring-accuracy scale.</w:t>
      </w:r>
    </w:p>
    <w:p>
      <w:pPr>
        <w:pStyle w:val="BodyText"/>
      </w:pPr>
      <w:r>
        <w:rPr>
          <w:b/>
          <w:bCs/>
        </w:rPr>
        <w:t xml:space="preserve">Parameter response (Figures S8–S9).</w:t>
      </w:r>
      <w:r>
        <w:t xml:space="preserve"> </w:t>
      </w:r>
      <w:r>
        <w:t xml:space="preserve">Sweeping</w:t>
      </w:r>
      <w:r>
        <w:t xml:space="preserve"> </w:t>
      </w:r>
      <w:r>
        <w:rPr>
          <w:rStyle w:val="VerbatimChar"/>
        </w:rPr>
        <w:t xml:space="preserve">--metal_soft_weight</w:t>
      </w:r>
      <w:r>
        <w:t xml:space="preserve"> </w:t>
      </w:r>
      <w:r>
        <w:t xml:space="preserve">over 0–0.5 on 3HS4 shifts the best-pose Zn distance by only 2.08 → 2.07 Å and the affinity by −13.319 → −13.316 kcal/mol (within noise): the search-time soft constraint is non-perturbative once coordination is already correct, consistent with its intended role of guiding initially displaced poses (Section 4.4). Sweeping the</w:t>
      </w:r>
      <w:r>
        <w:t xml:space="preserve"> </w:t>
      </w:r>
      <w:r>
        <w:rPr>
          <w:rStyle w:val="VerbatimChar"/>
        </w:rPr>
        <w:t xml:space="preserve">--metal_bias</w:t>
      </w:r>
      <w:r>
        <w:t xml:space="preserve"> </w:t>
      </w:r>
      <w:r>
        <w:t xml:space="preserve">attractor strength 0 → 8 kcal/mol deepens the affinity monotonically (−13.32 → −14.85) while the Zn distance stays at 2.08–2.11 Å, i.e. the attractor works as designed without corrupting geometry. The covalent anchor strength responds linearly (best score −0.63 → −8.68 kcal/mol for attractor strength 2 → 16 on the cys_michael system), so anchoring strength is quantitatively tunable. The upper end of this sweep also illustrates the over-attraction risk noted in Section 2.9: at strength 16 the anchor term alone accounts for most of the best score, and pose identity (not only the score) would need re-examination before such settings are used; the preset defaults (Table 4) avoid this regime.</w:t>
      </w:r>
    </w:p>
    <w:p>
      <w:pPr>
        <w:pStyle w:val="BodyText"/>
      </w:pPr>
      <w:r>
        <w:rPr>
          <w:b/>
          <w:bCs/>
        </w:rPr>
        <w:t xml:space="preserve">Hotspot-target cases (Figure S10).</w:t>
      </w:r>
      <w:r>
        <w:t xml:space="preserve"> </w:t>
      </w:r>
      <w:r>
        <w:t xml:space="preserve">(i)</w:t>
      </w:r>
      <w:r>
        <w:t xml:space="preserve"> </w:t>
      </w:r>
      <w:r>
        <w:rPr>
          <w:i/>
          <w:iCs/>
        </w:rPr>
        <w:t xml:space="preserve">Carbonic anhydrase II/AZM (3HS4)</w:t>
      </w:r>
      <w:r>
        <w:t xml:space="preserve">: zn mode recovers the sulfonamide–Zn coordination at 2.08 Å (crystal Zn–N 1.94 Å) with affinity −13.32 kcal/mol versus the experimental ≈ −10.8; adding the metal bias deepens the well (−13.69) without breaking the coordination distance (2.10 Å) — the zn + metal-bias workflow fits zinc-enzyme screening directly. (ii)</w:t>
      </w:r>
      <w:r>
        <w:t xml:space="preserve"> </w:t>
      </w:r>
      <w:r>
        <w:rPr>
          <w:i/>
          <w:iCs/>
        </w:rPr>
        <w:t xml:space="preserve">KRAS G12C covalent (6OIM, cys_michael preset)</w:t>
      </w:r>
      <w:r>
        <w:t xml:space="preserve">: we report this case as a</w:t>
      </w:r>
      <w:r>
        <w:t xml:space="preserve"> </w:t>
      </w:r>
      <w:r>
        <w:rPr>
          <w:b/>
          <w:bCs/>
        </w:rPr>
        <w:t xml:space="preserve">negative control</w:t>
      </w:r>
      <w:r>
        <w:t xml:space="preserve"> </w:t>
      </w:r>
      <w:r>
        <w:t xml:space="preserve">for the reactive workflow. Construction: in the deposited structure (PDB 6OIM) the acrylamide inhibitor is covalently bonded to Cys 12 SG; the receptor was prepared rigid with the co-crystallized ligand removed, so the system does not contain a genuine pre-reaction complex (the nucleophile position and pocket geometry reflect the post-reaction state), and recovering a reaction-competent pose is not expected under this preparation. Measurement: the reported ~7.2 Å is the minimum Euclidean distance in the top-ranked docked pose between the designated reactive atom pair — the warhead electrophilic β-carbon C17 (</w:t>
      </w:r>
      <w:r>
        <w:rPr>
          <w:rStyle w:val="VerbatimChar"/>
        </w:rPr>
        <w:t xml:space="preserve">reactive_lig_atom = name:C17</w:t>
      </w:r>
      <w:r>
        <w:t xml:space="preserve">) and the SG sulfur of Cys 12 (</w:t>
      </w:r>
      <w:r>
        <w:rPr>
          <w:rStyle w:val="VerbatimChar"/>
        </w:rPr>
        <w:t xml:space="preserve">reactive_rec_atom = A:12:SG</w:t>
      </w:r>
      <w:r>
        <w:t xml:space="preserve">) — computed from the docked model-0 coordinates in</w:t>
      </w:r>
      <w:r>
        <w:t xml:space="preserve"> </w:t>
      </w:r>
      <w:r>
        <w:rPr>
          <w:rStyle w:val="VerbatimChar"/>
        </w:rPr>
        <w:t xml:space="preserve">run_hotspot_cases.py</w:t>
      </w:r>
      <w:r>
        <w:t xml:space="preserve"> </w:t>
      </w:r>
      <w:r>
        <w:t xml:space="preserve">(</w:t>
      </w:r>
      <w:r>
        <w:rPr>
          <w:rStyle w:val="VerbatimChar"/>
        </w:rPr>
        <w:t xml:space="preserve">nearest_atom_dist</w:t>
      </w:r>
      <w:r>
        <w:t xml:space="preserve">). Physical meaning: the distance is a search-progress surrogate for the target bond length (</w:t>
      </w:r>
      <m:oMath>
        <m:sSub>
          <m:e>
            <m:r>
              <m:t>r</m:t>
            </m:r>
          </m:e>
          <m:sub>
            <m:r>
              <m:t>0</m:t>
            </m:r>
          </m:sub>
        </m:sSub>
      </m:oMath>
      <w:r>
        <w:t xml:space="preserve"> </w:t>
      </w:r>
      <w:r>
        <w:t xml:space="preserve">= 1.82 Å); at ~7.2 Å no output pose satisfies the NAC criteria (&lt; 3.0 Å, ±25°), so no pose qualifies as a reactive pose and none is labeled as one. The reactive modes all complete (best −19.1 to −19.3 kcal/mol, indistinguishable from plain AD4 on this metal-free target), confirming that the constraint machinery does not crash or fabricate NACs on a case where the geometry is unattainable. The likely causes of the failed guidance are the rigid-receptor preparation and the default attractor well being too weak inside the ~20 Å box with 4 rotatable warhead bonds; a re-scan with a wider/stronger attractor or the hybrid mode with an explicit bond-length term is listed in Section 4.6.</w:t>
      </w:r>
    </w:p>
    <w:p>
      <w:pPr>
        <w:pStyle w:val="CaptionedFigure"/>
      </w:pPr>
      <w:r>
        <w:drawing>
          <wp:inline>
            <wp:extent cx="5334000" cy="1749752"/>
            <wp:effectExtent b="0" l="0" r="0" t="0"/>
            <wp:docPr descr="Figure S5" title="" id="67" name="Picture"/>
            <a:graphic>
              <a:graphicData uri="http://schemas.openxmlformats.org/drawingml/2006/picture">
                <pic:pic>
                  <pic:nvPicPr>
                    <pic:cNvPr descr="figures/figS5_scoring_comparison.png" id="68" name="Picture"/>
                    <pic:cNvPicPr>
                      <a:picLocks noChangeArrowheads="1" noChangeAspect="1"/>
                    </pic:cNvPicPr>
                  </pic:nvPicPr>
                  <pic:blipFill>
                    <a:blip r:embed="rId66"/>
                    <a:stretch>
                      <a:fillRect/>
                    </a:stretch>
                  </pic:blipFill>
                  <pic:spPr bwMode="auto">
                    <a:xfrm>
                      <a:off x="0" y="0"/>
                      <a:ext cx="5334000" cy="1749752"/>
                    </a:xfrm>
                    <a:prstGeom prst="rect">
                      <a:avLst/>
                    </a:prstGeom>
                    <a:noFill/>
                    <a:ln w="9525">
                      <a:noFill/>
                      <a:headEnd/>
                      <a:tailEnd/>
                    </a:ln>
                  </pic:spPr>
                </pic:pic>
              </a:graphicData>
            </a:graphic>
          </wp:inline>
        </w:drawing>
      </w:r>
    </w:p>
    <w:p>
      <w:pPr>
        <w:pStyle w:val="ImageCaption"/>
      </w:pPr>
      <w:r>
        <w:t xml:space="preserve">Figure S5</w:t>
      </w:r>
    </w:p>
    <w:p>
      <w:pPr>
        <w:pStyle w:val="Compact"/>
        <w:numPr>
          <w:ilvl w:val="0"/>
          <w:numId w:val="1018"/>
        </w:numPr>
      </w:pPr>
      <w:r>
        <w:rPr>
          <w:b/>
          <w:bCs/>
        </w:rPr>
        <w:t xml:space="preserve">Figure S5.</w:t>
      </w:r>
      <w:r>
        <w:t xml:space="preserve"> </w:t>
      </w:r>
      <w:r>
        <w:t xml:space="preserve">Scoring-function comparison on 4JC / 3HS4 / 6OIM (Table 9). Best-mode affinity (left axis, bars) and best-pose distance to the nearest receptor metal (right axis, markers). On the Zn systems only AD4 + metal mode achieves coordination distance; the vinardo 4JC best pose sits 12.5 Å from Zn²⁺.</w:t>
      </w:r>
    </w:p>
    <w:p>
      <w:pPr>
        <w:pStyle w:val="CaptionedFigure"/>
      </w:pPr>
      <w:r>
        <w:drawing>
          <wp:inline>
            <wp:extent cx="5334000" cy="1603930"/>
            <wp:effectExtent b="0" l="0" r="0" t="0"/>
            <wp:docPr descr="Figure S6" title="" id="70" name="Picture"/>
            <a:graphic>
              <a:graphicData uri="http://schemas.openxmlformats.org/drawingml/2006/picture">
                <pic:pic>
                  <pic:nvPicPr>
                    <pic:cNvPr descr="figures/figS6_exhaustiveness.png" id="71" name="Picture"/>
                    <pic:cNvPicPr>
                      <a:picLocks noChangeArrowheads="1" noChangeAspect="1"/>
                    </pic:cNvPicPr>
                  </pic:nvPicPr>
                  <pic:blipFill>
                    <a:blip r:embed="rId69"/>
                    <a:stretch>
                      <a:fillRect/>
                    </a:stretch>
                  </pic:blipFill>
                  <pic:spPr bwMode="auto">
                    <a:xfrm>
                      <a:off x="0" y="0"/>
                      <a:ext cx="5334000" cy="1603930"/>
                    </a:xfrm>
                    <a:prstGeom prst="rect">
                      <a:avLst/>
                    </a:prstGeom>
                    <a:noFill/>
                    <a:ln w="9525">
                      <a:noFill/>
                      <a:headEnd/>
                      <a:tailEnd/>
                    </a:ln>
                  </pic:spPr>
                </pic:pic>
              </a:graphicData>
            </a:graphic>
          </wp:inline>
        </w:drawing>
      </w:r>
    </w:p>
    <w:p>
      <w:pPr>
        <w:pStyle w:val="ImageCaption"/>
      </w:pPr>
      <w:r>
        <w:t xml:space="preserve">Figure S6</w:t>
      </w:r>
    </w:p>
    <w:p>
      <w:pPr>
        <w:pStyle w:val="Compact"/>
        <w:numPr>
          <w:ilvl w:val="0"/>
          <w:numId w:val="1019"/>
        </w:numPr>
      </w:pPr>
      <w:r>
        <w:rPr>
          <w:b/>
          <w:bCs/>
        </w:rPr>
        <w:t xml:space="preserve">Figure S6.</w:t>
      </w:r>
      <w:r>
        <w:t xml:space="preserve"> </w:t>
      </w:r>
      <w:r>
        <w:t xml:space="preserve">Exhaustiveness sweep on 3HS4 (zn mode; exhaustiveness 1–32, 3 seeds each). Best-affinity standard deviation across seeds (top) falls to σ ≈ 0.003 kcal/mol at exhaustiveness 8; mean runtime grows near-linearly (bottom).</w:t>
      </w:r>
    </w:p>
    <w:p>
      <w:pPr>
        <w:pStyle w:val="CaptionedFigure"/>
      </w:pPr>
      <w:r>
        <w:drawing>
          <wp:inline>
            <wp:extent cx="5334000" cy="3412530"/>
            <wp:effectExtent b="0" l="0" r="0" t="0"/>
            <wp:docPr descr="Figure S7" title="" id="73" name="Picture"/>
            <a:graphic>
              <a:graphicData uri="http://schemas.openxmlformats.org/drawingml/2006/picture">
                <pic:pic>
                  <pic:nvPicPr>
                    <pic:cNvPr descr="figures/figS7_seed_variance.png" id="74" name="Picture"/>
                    <pic:cNvPicPr>
                      <a:picLocks noChangeArrowheads="1" noChangeAspect="1"/>
                    </pic:cNvPicPr>
                  </pic:nvPicPr>
                  <pic:blipFill>
                    <a:blip r:embed="rId72"/>
                    <a:stretch>
                      <a:fillRect/>
                    </a:stretch>
                  </pic:blipFill>
                  <pic:spPr bwMode="auto">
                    <a:xfrm>
                      <a:off x="0" y="0"/>
                      <a:ext cx="5334000" cy="3412530"/>
                    </a:xfrm>
                    <a:prstGeom prst="rect">
                      <a:avLst/>
                    </a:prstGeom>
                    <a:noFill/>
                    <a:ln w="9525">
                      <a:noFill/>
                      <a:headEnd/>
                      <a:tailEnd/>
                    </a:ln>
                  </pic:spPr>
                </pic:pic>
              </a:graphicData>
            </a:graphic>
          </wp:inline>
        </w:drawing>
      </w:r>
    </w:p>
    <w:p>
      <w:pPr>
        <w:pStyle w:val="ImageCaption"/>
      </w:pPr>
      <w:r>
        <w:t xml:space="preserve">Figure S7</w:t>
      </w:r>
    </w:p>
    <w:p>
      <w:pPr>
        <w:pStyle w:val="Compact"/>
        <w:numPr>
          <w:ilvl w:val="0"/>
          <w:numId w:val="1020"/>
        </w:numPr>
      </w:pPr>
      <w:r>
        <w:rPr>
          <w:b/>
          <w:bCs/>
        </w:rPr>
        <w:t xml:space="preserve">Figure S7.</w:t>
      </w:r>
      <w:r>
        <w:t xml:space="preserve"> </w:t>
      </w:r>
      <w:r>
        <w:t xml:space="preserve">Five-seed variance at exhaustiveness 8: 3HS4 (zn mode) spans −13.316 to −13.326 kcal/mol (range 0.010); 6OIM (vina) spans −9.433 to −9.486 (range 0.053). Single-seed affinities are reproducible far below scoring-function accuracy.</w:t>
      </w:r>
    </w:p>
    <w:p>
      <w:pPr>
        <w:pStyle w:val="CaptionedFigure"/>
      </w:pPr>
      <w:r>
        <w:drawing>
          <wp:inline>
            <wp:extent cx="5334000" cy="3408065"/>
            <wp:effectExtent b="0" l="0" r="0" t="0"/>
            <wp:docPr descr="Figure S8" title="" id="76" name="Picture"/>
            <a:graphic>
              <a:graphicData uri="http://schemas.openxmlformats.org/drawingml/2006/picture">
                <pic:pic>
                  <pic:nvPicPr>
                    <pic:cNvPr descr="figures/figS8_soft_weight.png" id="77" name="Picture"/>
                    <pic:cNvPicPr>
                      <a:picLocks noChangeArrowheads="1" noChangeAspect="1"/>
                    </pic:cNvPicPr>
                  </pic:nvPicPr>
                  <pic:blipFill>
                    <a:blip r:embed="rId75"/>
                    <a:stretch>
                      <a:fillRect/>
                    </a:stretch>
                  </pic:blipFill>
                  <pic:spPr bwMode="auto">
                    <a:xfrm>
                      <a:off x="0" y="0"/>
                      <a:ext cx="5334000" cy="3408065"/>
                    </a:xfrm>
                    <a:prstGeom prst="rect">
                      <a:avLst/>
                    </a:prstGeom>
                    <a:noFill/>
                    <a:ln w="9525">
                      <a:noFill/>
                      <a:headEnd/>
                      <a:tailEnd/>
                    </a:ln>
                  </pic:spPr>
                </pic:pic>
              </a:graphicData>
            </a:graphic>
          </wp:inline>
        </w:drawing>
      </w:r>
    </w:p>
    <w:p>
      <w:pPr>
        <w:pStyle w:val="ImageCaption"/>
      </w:pPr>
      <w:r>
        <w:t xml:space="preserve">Figure S8</w:t>
      </w:r>
    </w:p>
    <w:p>
      <w:pPr>
        <w:pStyle w:val="Compact"/>
        <w:numPr>
          <w:ilvl w:val="0"/>
          <w:numId w:val="1021"/>
        </w:numPr>
      </w:pPr>
      <w:r>
        <w:rPr>
          <w:b/>
          <w:bCs/>
        </w:rPr>
        <w:t xml:space="preserve">Figure S8.</w:t>
      </w:r>
      <w:r>
        <w:t xml:space="preserve"> </w:t>
      </w:r>
      <w:r>
        <w:rPr>
          <w:rStyle w:val="VerbatimChar"/>
        </w:rPr>
        <w:t xml:space="preserve">--metal_soft_weight</w:t>
      </w:r>
      <w:r>
        <w:t xml:space="preserve"> </w:t>
      </w:r>
      <w:r>
        <w:t xml:space="preserve">sweep (w = 0–0.5) on 3HS4: best-pose Zn distance (2.08 → 2.07 Å) and affinity (−13.319 → −13.316 kcal/mol) are unchanged within noise — the search-time soft constraint does not perturb systems whose coordination is already correct.</w:t>
      </w:r>
    </w:p>
    <w:p>
      <w:pPr>
        <w:pStyle w:val="CaptionedFigure"/>
      </w:pPr>
      <w:r>
        <w:drawing>
          <wp:inline>
            <wp:extent cx="5334000" cy="3408065"/>
            <wp:effectExtent b="0" l="0" r="0" t="0"/>
            <wp:docPr descr="Figure S9" title="" id="79" name="Picture"/>
            <a:graphic>
              <a:graphicData uri="http://schemas.openxmlformats.org/drawingml/2006/picture">
                <pic:pic>
                  <pic:nvPicPr>
                    <pic:cNvPr descr="figures/figS9_metal_bias.png" id="80" name="Picture"/>
                    <pic:cNvPicPr>
                      <a:picLocks noChangeArrowheads="1" noChangeAspect="1"/>
                    </pic:cNvPicPr>
                  </pic:nvPicPr>
                  <pic:blipFill>
                    <a:blip r:embed="rId78"/>
                    <a:stretch>
                      <a:fillRect/>
                    </a:stretch>
                  </pic:blipFill>
                  <pic:spPr bwMode="auto">
                    <a:xfrm>
                      <a:off x="0" y="0"/>
                      <a:ext cx="5334000" cy="3408065"/>
                    </a:xfrm>
                    <a:prstGeom prst="rect">
                      <a:avLst/>
                    </a:prstGeom>
                    <a:noFill/>
                    <a:ln w="9525">
                      <a:noFill/>
                      <a:headEnd/>
                      <a:tailEnd/>
                    </a:ln>
                  </pic:spPr>
                </pic:pic>
              </a:graphicData>
            </a:graphic>
          </wp:inline>
        </w:drawing>
      </w:r>
    </w:p>
    <w:p>
      <w:pPr>
        <w:pStyle w:val="ImageCaption"/>
      </w:pPr>
      <w:r>
        <w:t xml:space="preserve">Figure S9</w:t>
      </w:r>
    </w:p>
    <w:p>
      <w:pPr>
        <w:pStyle w:val="Compact"/>
        <w:numPr>
          <w:ilvl w:val="0"/>
          <w:numId w:val="1022"/>
        </w:numPr>
      </w:pPr>
      <w:r>
        <w:rPr>
          <w:b/>
          <w:bCs/>
        </w:rPr>
        <w:t xml:space="preserve">Figure S9.</w:t>
      </w:r>
      <w:r>
        <w:t xml:space="preserve"> </w:t>
      </w:r>
      <w:r>
        <w:rPr>
          <w:rStyle w:val="VerbatimChar"/>
        </w:rPr>
        <w:t xml:space="preserve">--metal_bias</w:t>
      </w:r>
      <w:r>
        <w:t xml:space="preserve"> </w:t>
      </w:r>
      <w:r>
        <w:t xml:space="preserve">strength sweep (0–8 kcal/mol) on 3HS4: affinity deepens monotonically (−13.32 → −14.85 kcal/mol) while the best-pose Zn distance stays at 2.08–2.11 Å — the O5 attractor is effective and geometry-preserving.</w:t>
      </w:r>
    </w:p>
    <w:p>
      <w:pPr>
        <w:pStyle w:val="CaptionedFigure"/>
      </w:pPr>
      <w:r>
        <w:drawing>
          <wp:inline>
            <wp:extent cx="5334000" cy="1852601"/>
            <wp:effectExtent b="0" l="0" r="0" t="0"/>
            <wp:docPr descr="Figure S10" title="" id="82" name="Picture"/>
            <a:graphic>
              <a:graphicData uri="http://schemas.openxmlformats.org/drawingml/2006/picture">
                <pic:pic>
                  <pic:nvPicPr>
                    <pic:cNvPr descr="figures/figS10_hotspot_cases.png" id="83" name="Picture"/>
                    <pic:cNvPicPr>
                      <a:picLocks noChangeArrowheads="1" noChangeAspect="1"/>
                    </pic:cNvPicPr>
                  </pic:nvPicPr>
                  <pic:blipFill>
                    <a:blip r:embed="rId81"/>
                    <a:stretch>
                      <a:fillRect/>
                    </a:stretch>
                  </pic:blipFill>
                  <pic:spPr bwMode="auto">
                    <a:xfrm>
                      <a:off x="0" y="0"/>
                      <a:ext cx="5334000" cy="1852601"/>
                    </a:xfrm>
                    <a:prstGeom prst="rect">
                      <a:avLst/>
                    </a:prstGeom>
                    <a:noFill/>
                    <a:ln w="9525">
                      <a:noFill/>
                      <a:headEnd/>
                      <a:tailEnd/>
                    </a:ln>
                  </pic:spPr>
                </pic:pic>
              </a:graphicData>
            </a:graphic>
          </wp:inline>
        </w:drawing>
      </w:r>
    </w:p>
    <w:p>
      <w:pPr>
        <w:pStyle w:val="ImageCaption"/>
      </w:pPr>
      <w:r>
        <w:t xml:space="preserve">Figure S10</w:t>
      </w:r>
    </w:p>
    <w:p>
      <w:pPr>
        <w:pStyle w:val="Compact"/>
        <w:numPr>
          <w:ilvl w:val="0"/>
          <w:numId w:val="1023"/>
        </w:numPr>
      </w:pPr>
      <w:r>
        <w:rPr>
          <w:b/>
          <w:bCs/>
        </w:rPr>
        <w:t xml:space="preserve">Figure S10.</w:t>
      </w:r>
      <w:r>
        <w:t xml:space="preserve"> </w:t>
      </w:r>
      <w:r>
        <w:t xml:space="preserve">Hotspot-target cases. (A) KRAS G12C (6OIM, cys_michael): all five docking modes complete, but the warhead C17–SG12 distance converges only to ~7.2 Å (dashed line = covalent bond length ~1.8 Å); a negative control reported and dissected in Section 3.7. (B) Carbonic anhydrase II (3HS4): zn mode places the AZM sulfonamide N at 2.08 Å of the catalytic Zn²⁺ (crystal 1.94 Å); the metal bias deepens the score without disturbing the coordination distance.</w:t>
      </w:r>
    </w:p>
    <w:p>
      <w:r>
        <w:pict>
          <v:rect style="width:0;height:1.5pt" o:hralign="center" o:hrstd="t" o:hr="t"/>
        </w:pict>
      </w:r>
    </w:p>
    <w:bookmarkEnd w:id="84"/>
    <w:bookmarkEnd w:id="85"/>
    <w:bookmarkStart w:id="98" w:name="discussion"/>
    <w:p>
      <w:pPr>
        <w:pStyle w:val="Heading2"/>
      </w:pPr>
      <w:r>
        <w:t xml:space="preserve">4. Discussion</w:t>
      </w:r>
    </w:p>
    <w:bookmarkStart w:id="86" w:name="Xc1c3601d8c64d354ec92869b29490676f22edae"/>
    <w:p>
      <w:pPr>
        <w:pStyle w:val="Heading3"/>
      </w:pPr>
      <w:r>
        <w:t xml:space="preserve">4.1 Comparison with prior metal- and covalent-docking methods</w:t>
      </w:r>
    </w:p>
    <w:p>
      <w:pPr>
        <w:pStyle w:val="FirstParagraph"/>
      </w:pPr>
      <w:r>
        <w:t xml:space="preserve">LKina differs from AutoDock4Zn </w:t>
      </w:r>
      <w:r>
        <w:rPr>
          <w:vertAlign w:val="superscript"/>
          <w:sz w:val="18"/>
        </w:rPr>
        <w:t>[6]</w:t>
      </w:r>
      <w:r>
        <w:t xml:space="preserve"> in</w:t>
      </w:r>
      <w:r>
        <w:t xml:space="preserve"> </w:t>
      </w:r>
      <w:r>
        <w:rPr>
          <w:i/>
          <w:iCs/>
        </w:rPr>
        <w:t xml:space="preserve">coverage</w:t>
      </w:r>
      <w:r>
        <w:t xml:space="preserve"> </w:t>
      </w:r>
      <w:r>
        <w:t xml:space="preserve">(any metal rather than Zn²⁺ alone; four pseudoatom geometries; Jahn–Teller and water-bridge terms) and from MetalDock </w:t>
      </w:r>
      <w:r>
        <w:rPr>
          <w:vertAlign w:val="superscript"/>
          <w:sz w:val="18"/>
        </w:rPr>
        <w:t>[7]</w:t>
      </w:r>
      <w:r>
        <w:t xml:space="preserve"> in</w:t>
      </w:r>
      <w:r>
        <w:t xml:space="preserve"> </w:t>
      </w:r>
      <w:r>
        <w:rPr>
          <w:i/>
          <w:iCs/>
        </w:rPr>
        <w:t xml:space="preserve">architecture</w:t>
      </w:r>
      <w:r>
        <w:t xml:space="preserve"> </w:t>
      </w:r>
      <w:r>
        <w:t xml:space="preserve">(engine-level atom types and grids versus an external pre-processing protocol; no external</w:t>
      </w:r>
      <w:r>
        <w:t xml:space="preserve"> </w:t>
      </w:r>
      <w:r>
        <w:rPr>
          <w:rStyle w:val="VerbatimChar"/>
        </w:rPr>
        <w:t xml:space="preserve">autogrid4</w:t>
      </w:r>
      <w:r>
        <w:t xml:space="preserve">). The 110-mode synthetic benchmark quantifies the coverage gap directly: 76 metal-coordination systems fail even Vina 1.2.7’s parsing, whereas LKina docks all of them with a mean coordination error of only 0.20 Å. Unlike CovDock, LKina is open source, requires no pre-built covalent adducts, and reports NAC status per pose. Other representative docking programs, the CHARMm grid-based CDOCKER </w:t>
      </w:r>
      <w:r>
        <w:rPr>
          <w:vertAlign w:val="superscript"/>
          <w:sz w:val="18"/>
        </w:rPr>
        <w:t>[19]</w:t>
      </w:r>
      <w:r>
        <w:t xml:space="preserve"> and the genetic-algorithm GOLD </w:t>
      </w:r>
      <w:r>
        <w:rPr>
          <w:vertAlign w:val="superscript"/>
          <w:sz w:val="18"/>
        </w:rPr>
        <w:t>[20]</w:t>
      </w:r>
      <w:r>
        <w:t xml:space="preserve">, provide reference accuracy baselines for covalent and flexible docking, but their commercial licenses or external pre-processing dependencies preclude a direct engine-level comparison; this work therefore runs LKina and Vina 1.2.7 head-to-head under identical conditions (same receptor/ligand files, fixed seed, top-1 RMSD; Sections 3.3–3.6) and treats the CDOCKER/GOLD literature accuracy as a qualitative reference rather than a re-run. To our knowledge, LKina is currently the only open-source engine that integrates, at the engine level, metal-coordination docking, NAC-constrained reactive docking, and a fully self-contained grid pipeline.</w:t>
      </w:r>
      <w:r>
        <w:t xml:space="preserve"> </w:t>
      </w:r>
      <w:r>
        <w:rPr>
          <w:b/>
          <w:bCs/>
        </w:rPr>
        <w:t xml:space="preserve">Scope of the comparison.</w:t>
      </w:r>
      <w:r>
        <w:t xml:space="preserve"> </w:t>
      </w:r>
      <w:r>
        <w:t xml:space="preserve">No metal-specialized or covalent external method (AutoDock4Zn protocol, MetalDock, CovDock, GOLD) was re-run in this work, and the baselines are deliberately simple: the same engine with its extensions disabled (</w:t>
      </w:r>
      <w:r>
        <w:rPr>
          <w:rStyle w:val="VerbatimChar"/>
        </w:rPr>
        <w:t xml:space="preserve">--no_auto_metal</w:t>
      </w:r>
      <w:r>
        <w:t xml:space="preserve">) isolates the coordination-model contribution, and stock Vina 1.2.7 provides the open-source standard. We did not implement post-hoc pose rescoring or distance-filter baselines; adding such simple baselines, plus at least one metal-specialized method on a shared Zn subset, is part of the planned benchmark expansion (Section 4.6), under a uniform protocol (identical preparation, box, seed, exhaustiveness, pose count, and success criterion).</w:t>
      </w:r>
    </w:p>
    <w:bookmarkEnd w:id="86"/>
    <w:bookmarkStart w:id="87" w:name="X5b888e4e36d6e758b775ca44b9394c24739bc7a"/>
    <w:p>
      <w:pPr>
        <w:pStyle w:val="Heading3"/>
      </w:pPr>
      <w:r>
        <w:t xml:space="preserve">4.2 The synthetic benchmark: what it does and does not measure</w:t>
      </w:r>
    </w:p>
    <w:p>
      <w:pPr>
        <w:pStyle w:val="FirstParagraph"/>
      </w:pPr>
      <w:r>
        <w:t xml:space="preserve">The synthetic metal-coordination systems are deliberately minimal (a metal, a partial donor shell, and a probe ligand) and therefore</w:t>
      </w:r>
      <w:r>
        <w:t xml:space="preserve"> </w:t>
      </w:r>
      <w:r>
        <w:rPr>
          <w:b/>
          <w:bCs/>
        </w:rPr>
        <w:t xml:space="preserve">measure coverage and correct operation, not predictive accuracy</w:t>
      </w:r>
      <w:r>
        <w:t xml:space="preserve">: they verify that every metal mode parses, that pseudoatom injection and nbp overrides load without error, and that the search completes with finite scores and emits coordination remarks. The coordination-distance residuals (mean 0.20 Å across 110 modes) are lower-bound estimates because the systems lack the protein pocket that makes the metal site geometrically unique in real complexes. Real-system accuracy is established separately by the 4JC comparison (Section 3.3) and the PDB-derived Zn/Fe/Cu redocking datasets (Section 3.6).</w:t>
      </w:r>
    </w:p>
    <w:bookmarkEnd w:id="87"/>
    <w:bookmarkStart w:id="88" w:name="Xb3a156b3b8a8c6fb7f50852da3e4a2b8cd60b69"/>
    <w:p>
      <w:pPr>
        <w:pStyle w:val="Heading3"/>
      </w:pPr>
      <w:r>
        <w:t xml:space="preserve">4.3 Vina comparison and the metal-mode energy scale</w:t>
      </w:r>
    </w:p>
    <w:p>
      <w:pPr>
        <w:pStyle w:val="FirstParagraph"/>
      </w:pPr>
      <w:r>
        <w:t xml:space="preserve">LKina’s metal mode augments standard AD4 with the TZ coordination potential and the Zn nbp overrides, so its scores include the genuine coordination contribution and are naturally 2–4 kcal/mol deeper than plain AD4 — consistent with the AutoDock4Zn design, in which each</w:t>
      </w:r>
      <w:r>
        <w:t xml:space="preserve"> </w:t>
      </w:r>
      <w:r>
        <w:rPr>
          <w:rStyle w:val="VerbatimChar"/>
        </w:rPr>
        <w:t xml:space="preserve">nbp_r_eps</w:t>
      </w:r>
      <w:r>
        <w:t xml:space="preserve"> </w:t>
      </w:r>
      <w:r>
        <w:t xml:space="preserve">epsilon is multiplied by</w:t>
      </w:r>
      <w:r>
        <w:t xml:space="preserve"> </w:t>
      </w:r>
      <w:r>
        <w:rPr>
          <w:rStyle w:val="VerbatimChar"/>
        </w:rPr>
        <w:t xml:space="preserve">FE_coeff_vdW = 0.1662</w:t>
      </w:r>
      <w:r>
        <w:t xml:space="preserve"> </w:t>
      </w:r>
      <w:r>
        <w:t xml:space="preserve">when the potential is written (NA–TZ well depth −3.86 kcal/mol). The implementation was verified line-by-line against the official AutoGrid source (</w:t>
      </w:r>
      <w:r>
        <w:rPr>
          <w:rStyle w:val="VerbatimChar"/>
        </w:rPr>
        <w:t xml:space="preserve">mainpost1.28.cpp</w:t>
      </w:r>
      <w:r>
        <w:t xml:space="preserve">) and validated on the carbonic anhydrase II/AZM system: the zn-mode score (−13.3 kcal/mol) agrees with the experimental affinity (≈−10.8 kcal/mol) within &lt;3 kcal/mol, matching the accuracy reported for AutoDock4Zn. Metal-mode scores are therefore suitable for</w:t>
      </w:r>
      <w:r>
        <w:t xml:space="preserve"> </w:t>
      </w:r>
      <w:r>
        <w:rPr>
          <w:i/>
          <w:iCs/>
        </w:rPr>
        <w:t xml:space="preserve">ranking poses within metal mode</w:t>
      </w:r>
      <w:r>
        <w:t xml:space="preserve">,</w:t>
      </w:r>
      <w:r>
        <w:t xml:space="preserve"> </w:t>
      </w:r>
      <w:r>
        <w:rPr>
          <w:i/>
          <w:iCs/>
        </w:rPr>
        <w:t xml:space="preserve">monitoring coordination geometry</w:t>
      </w:r>
      <w:r>
        <w:t xml:space="preserve">, and</w:t>
      </w:r>
      <w:r>
        <w:t xml:space="preserve"> </w:t>
      </w:r>
      <w:r>
        <w:rPr>
          <w:i/>
          <w:iCs/>
        </w:rPr>
        <w:t xml:space="preserve">order-of-magnitude comparison against experimental affinities</w:t>
      </w:r>
      <w:r>
        <w:t xml:space="preserve">; coordination geometry should remain the primary evidence when comparing across scoring functions.</w:t>
      </w:r>
    </w:p>
    <w:p>
      <w:pPr>
        <w:pStyle w:val="BodyText"/>
      </w:pPr>
      <w:r>
        <w:t xml:space="preserve">The 34-vs-110 coverage result is independent of scoring-function choice: it is a property of the</w:t>
      </w:r>
      <w:r>
        <w:t xml:space="preserve"> </w:t>
      </w:r>
      <w:r>
        <w:rPr>
          <w:i/>
          <w:iCs/>
        </w:rPr>
        <w:t xml:space="preserve">atom-type parser</w:t>
      </w:r>
      <w:r>
        <w:t xml:space="preserve">, and identical receptor/ligand files were used for both engines. The 4JC comparison goes further by running Vina-AD4 on LKina-generated</w:t>
      </w:r>
      <w:r>
        <w:t xml:space="preserve"> </w:t>
      </w:r>
      <w:r>
        <w:rPr>
          <w:rStyle w:val="VerbatimChar"/>
        </w:rPr>
        <w:t xml:space="preserve">.map</w:t>
      </w:r>
      <w:r>
        <w:t xml:space="preserve"> </w:t>
      </w:r>
      <w:r>
        <w:t xml:space="preserve">files, so the three rows share the same force field and differ only in the metal-coordination modeling. We explicitly do not claim that LKina’s AD4 scoring is universally better than Vina’s vina scoring; the claim is that LKina adds a coordination model that Vina lacks, at no cost to backward compatibility (Section 3.5).</w:t>
      </w:r>
    </w:p>
    <w:bookmarkEnd w:id="88"/>
    <w:bookmarkStart w:id="89" w:name="Xb42271e654c01348c97de8fe23dcf525686b82a"/>
    <w:p>
      <w:pPr>
        <w:pStyle w:val="Heading3"/>
      </w:pPr>
      <w:r>
        <w:t xml:space="preserve">4.4 Design philosophy: conservative extensions, measurable behavior</w:t>
      </w:r>
    </w:p>
    <w:p>
      <w:pPr>
        <w:pStyle w:val="FirstParagraph"/>
      </w:pPr>
      <w:r>
        <w:t xml:space="preserve">Three principles govern LKina’s design. (i)</w:t>
      </w:r>
      <w:r>
        <w:t xml:space="preserve"> </w:t>
      </w:r>
      <w:r>
        <w:rPr>
          <w:i/>
          <w:iCs/>
        </w:rPr>
        <w:t xml:space="preserve">Backward compatibility is a correctness property</w:t>
      </w:r>
      <w:r>
        <w:t xml:space="preserve">: defaults reproduce Vina 1.2.7 exactly (numerically verified in Section 3.5), and every new term is opt-in. (ii)</w:t>
      </w:r>
      <w:r>
        <w:t xml:space="preserve"> </w:t>
      </w:r>
      <w:r>
        <w:rPr>
          <w:i/>
          <w:iCs/>
        </w:rPr>
        <w:t xml:space="preserve">Post-processing rerank terms do not enter the search gradient</w:t>
      </w:r>
      <w:r>
        <w:t xml:space="preserve">: metal geometry affects pose ranking only, avoiding spurious forces; the search-time soft-constraint channel (</w:t>
      </w:r>
      <w:r>
        <w:rPr>
          <w:rStyle w:val="VerbatimChar"/>
        </w:rPr>
        <w:t xml:space="preserve">--metal_soft_weight</w:t>
      </w:r>
      <w:r>
        <w:t xml:space="preserve">) is exposed but off by default, with a smooth log-sum-exp approximation that keeps the optimization well-posed. (iii)</w:t>
      </w:r>
      <w:r>
        <w:t xml:space="preserve"> </w:t>
      </w:r>
      <w:r>
        <w:rPr>
          <w:i/>
          <w:iCs/>
        </w:rPr>
        <w:t xml:space="preserve">Grid/search consistency is enforced</w:t>
      </w:r>
      <w:r>
        <w:t xml:space="preserve">: when metal-specific potentials are active, fallback to an external grid generator is forbidden, eliminating a subtle class of search/grid mismatch errors.</w:t>
      </w:r>
    </w:p>
    <w:bookmarkEnd w:id="89"/>
    <w:bookmarkStart w:id="90" w:name="limitations-and-failure-modes"/>
    <w:p>
      <w:pPr>
        <w:pStyle w:val="Heading3"/>
      </w:pPr>
      <w:r>
        <w:t xml:space="preserve">4.5 Limitations and failure modes</w:t>
      </w:r>
    </w:p>
    <w:p>
      <w:pPr>
        <w:pStyle w:val="Compact"/>
        <w:numPr>
          <w:ilvl w:val="0"/>
          <w:numId w:val="1024"/>
        </w:numPr>
      </w:pPr>
      <w:r>
        <w:rPr>
          <w:b/>
          <w:bCs/>
        </w:rPr>
        <w:t xml:space="preserve">Multi-metal coupling.</w:t>
      </w:r>
      <w:r>
        <w:t xml:space="preserve"> </w:t>
      </w:r>
      <w:r>
        <w:t xml:space="preserve">Modes are applied per site independently; bridging ligands of dinuclear centers (μ-aqua, μ-oxo) may be double-counted in rerank scores, and the BVS inference remains single-center (Mo–Fe nitrogenase and the tetranuclear Mn cluster of photosystem II are not yet handled rigorously; Ni–Fe hydrogenase receives a single-center Ni approximation). (ii)</w:t>
      </w:r>
      <w:r>
        <w:t xml:space="preserve"> </w:t>
      </w:r>
      <w:r>
        <w:rPr>
          <w:b/>
          <w:bCs/>
        </w:rPr>
        <w:t xml:space="preserve">Metal-as-ligand scope.</w:t>
      </w:r>
      <w:r>
        <w:t xml:space="preserve"> </w:t>
      </w:r>
      <w:r>
        <w:t xml:space="preserve">The reverse-potential extension is a conservative, grid-based approximation: MetalDock-style ligand-side dummy atoms and internal geometric constraints are not ported, and dedicated benchmarks for Pt/Ru/Tc/Re/Gd agents are pending. (iii)</w:t>
      </w:r>
      <w:r>
        <w:t xml:space="preserve"> </w:t>
      </w:r>
      <w:r>
        <w:rPr>
          <w:b/>
          <w:bCs/>
        </w:rPr>
        <w:t xml:space="preserve">Reactive score is not thermodynamic</w:t>
      </w:r>
      <w:r>
        <w:t xml:space="preserve">: reactive penalty terms must not be interpreted as binding-affinity or activation-energy predictions (Section 2.9); large attractor strengths can dominate the score and distort ranking (Section 3.7). (iv)</w:t>
      </w:r>
      <w:r>
        <w:t xml:space="preserve"> </w:t>
      </w:r>
      <w:r>
        <w:rPr>
          <w:b/>
          <w:bCs/>
        </w:rPr>
        <w:t xml:space="preserve">Synthetic benchmark granularity</w:t>
      </w:r>
      <w:r>
        <w:t xml:space="preserve">: the 110-mode systems are minimal by design; a full PDB-derived multi-metal benchmark would require additional infrastructure. (v)</w:t>
      </w:r>
      <w:r>
        <w:t xml:space="preserve"> </w:t>
      </w:r>
      <w:r>
        <w:rPr>
          <w:b/>
          <w:bCs/>
        </w:rPr>
        <w:t xml:space="preserve">Statistical robustness</w:t>
      </w:r>
      <w:r>
        <w:t xml:space="preserve">: the redocking cohort was run once per engine (seed 42, exhaustiveness 8/16 depending on section); measured seed sensitivity bounds the score-level stochastic contribution (Section 3.6) but not pose-level variability, and no confidence intervals or paired tests are reported yet.</w:t>
      </w:r>
    </w:p>
    <w:p>
      <w:pPr>
        <w:pStyle w:val="FirstParagraph"/>
      </w:pPr>
      <w:r>
        <w:rPr>
          <w:b/>
          <w:bCs/>
        </w:rPr>
        <w:t xml:space="preserve">Published failure cases.</w:t>
      </w:r>
      <w:r>
        <w:t xml:space="preserve"> </w:t>
      </w:r>
      <w:r>
        <w:t xml:space="preserve">Failures are listed here with the same prominence as the successes. (a)</w:t>
      </w:r>
      <w:r>
        <w:t xml:space="preserve"> </w:t>
      </w:r>
      <w:r>
        <w:rPr>
          <w:i/>
          <w:iCs/>
        </w:rPr>
        <w:t xml:space="preserve">Global pose recovery</w:t>
      </w:r>
      <w:r>
        <w:t xml:space="preserve">: on the 104-system redocking benchmark, top-1 RMSD ≤ 2.0 Å success is 0% (Zn²⁺), 12.8% (Fe³⁺), and 11.4% (Cu²⁺) for LKina metal mode — the coordination model recovers metal-adjacent geometry (90.6% within 3.0 Å) but does not by itself solve global pose prediction under this lean protocol. (b)</w:t>
      </w:r>
      <w:r>
        <w:t xml:space="preserve"> </w:t>
      </w:r>
      <w:r>
        <w:rPr>
          <w:i/>
          <w:iCs/>
        </w:rPr>
        <w:t xml:space="preserve">Covalent guidance</w:t>
      </w:r>
      <w:r>
        <w:t xml:space="preserve">: on the 6OIM negative control (Section 3.7), reactive docking completes but leaves the warhead–nucleophile distance at ~7.2 Å; no NAC-competent pose is produced. (c)</w:t>
      </w:r>
      <w:r>
        <w:t xml:space="preserve"> </w:t>
      </w:r>
      <w:r>
        <w:rPr>
          <w:i/>
          <w:iCs/>
        </w:rPr>
        <w:t xml:space="preserve">Synthetic edge cases</w:t>
      </w:r>
      <w:r>
        <w:t xml:space="preserve">: 6 of 110 synthetic modes (four LIN, one TZ, one MH) show no measurable coordination well at the probed donor position (Figure S1); these are linear or edge-geometry sites whose tabulated overrides are weakest. (d)</w:t>
      </w:r>
      <w:r>
        <w:t xml:space="preserve"> </w:t>
      </w:r>
      <w:r>
        <w:rPr>
          <w:i/>
          <w:iCs/>
        </w:rPr>
        <w:t xml:space="preserve">Metal-as-ligand RMSD</w:t>
      </w:r>
      <w:r>
        <w:t xml:space="preserve">: on the 20-complex Pt/Pd/Ru/Os/Re pool, global RMSD ≤ 2.0 Å succeeds in only 1/20 (flexible metal complexes defeat a global-RMSD metric; the coordination-competence metric is the meaningful one for this class, Figure S4). (e)</w:t>
      </w:r>
      <w:r>
        <w:t xml:space="preserve"> </w:t>
      </w:r>
      <w:r>
        <w:rPr>
          <w:i/>
          <w:iCs/>
        </w:rPr>
        <w:t xml:space="preserve">Preparation sensitivity</w:t>
      </w:r>
      <w:r>
        <w:t xml:space="preserve">: a receptor prepared with 1,349 UNL/UNK co-ligand atoms corrupted absolute energies by ~+990 kcal/mol before the clean-receptor rerun (Section 3.3) — input preparation quality gates every result above.</w:t>
      </w:r>
    </w:p>
    <w:bookmarkEnd w:id="90"/>
    <w:bookmarkStart w:id="97" w:name="future-work"/>
    <w:p>
      <w:pPr>
        <w:pStyle w:val="Heading3"/>
      </w:pPr>
      <w:r>
        <w:t xml:space="preserve">4.6 Future work</w:t>
      </w:r>
    </w:p>
    <w:p>
      <w:pPr>
        <w:pStyle w:val="FirstParagraph"/>
      </w:pPr>
      <w:r>
        <w:t xml:space="preserve">Two open directions remain genuine limitations of the current implementation: (i)</w:t>
      </w:r>
      <w:r>
        <w:t xml:space="preserve"> </w:t>
      </w:r>
      <w:r>
        <w:rPr>
          <w:b/>
          <w:bCs/>
        </w:rPr>
        <w:t xml:space="preserve">multi-metal coupling and multi-center BVS</w:t>
      </w:r>
      <w:r>
        <w:t xml:space="preserve">, systems such as the Mo–Fe cofactor of nitrogenase and the tetranuclear Mn cluster of photosystem II require multi-atom, jointly scored active-site models that go beyond the single-center BVS inference of Section 4.5; and (ii)</w:t>
      </w:r>
      <w:r>
        <w:t xml:space="preserve"> </w:t>
      </w:r>
      <w:r>
        <w:rPr>
          <w:b/>
          <w:bCs/>
        </w:rPr>
        <w:t xml:space="preserve">broader medicinal metal-as-ligand chemical space</w:t>
      </w:r>
      <w:r>
        <w:t xml:space="preserve">, the current reverse-potential extension is a conservative grid-based approximation; MetalDock-style ligand-side dummy atoms and internal geometric constraints are not yet ported, and dedicated redocking and in-vitro pharmacological validation for Pt-, Ru-, and Tc-based agents are still pending. In addition, the KRAS G12C covalent case (Section 3.7) left the warhead–SG distance at ~7.2 Å; a re-scan with a wider/stronger reactive attractor or the hybrid mode with an explicit bond-length term (1.8 Å) is planned. Already completed (and therefore moved out of future work): the</w:t>
      </w:r>
      <w:r>
        <w:t xml:space="preserve"> </w:t>
      </w:r>
      <w:r>
        <w:rPr>
          <w:rStyle w:val="VerbatimChar"/>
        </w:rPr>
        <w:t xml:space="preserve">--metal_soft_weight</w:t>
      </w:r>
      <w:r>
        <w:t xml:space="preserve"> </w:t>
      </w:r>
      <w:r>
        <w:t xml:space="preserve">ablation on three real systems (Zn 4JC, Fe 1A8E, Cu 1A2V at w = 0/0.1/0.3/0.5; drift ≤ 0.01 Å;</w:t>
      </w:r>
      <w:r>
        <w:t xml:space="preserve"> </w:t>
      </w:r>
      <w:r>
        <w:rPr>
          <w:rStyle w:val="VerbatimChar"/>
        </w:rPr>
        <w:t xml:space="preserve">benchmarks/soft_weight_results.json</w:t>
      </w:r>
      <w:r>
        <w:t xml:space="preserve">); the metal-as-ligand full Pt/Pd/Ru/Os/Re pool pipeline (n = 20;</w:t>
      </w:r>
      <w:r>
        <w:t xml:space="preserve"> </w:t>
      </w:r>
      <w:r>
        <w:rPr>
          <w:rStyle w:val="VerbatimChar"/>
        </w:rPr>
        <w:t xml:space="preserve">benchmarks/metallocomplex_redocking_benchmark.py</w:t>
      </w:r>
      <w:r>
        <w:t xml:space="preserve">); and the C3 regime-dependence result (single 5/6 vs c3b 3/6 vs c3 0/6 on synthetic deep pockets; Figure S3).</w:t>
      </w:r>
    </w:p>
    <w:p>
      <w:pPr>
        <w:pStyle w:val="CaptionedFigure"/>
      </w:pPr>
      <w:r>
        <w:drawing>
          <wp:inline>
            <wp:extent cx="5334000" cy="2518833"/>
            <wp:effectExtent b="0" l="0" r="0" t="0"/>
            <wp:docPr descr="Figure S3" title="" id="92" name="Picture"/>
            <a:graphic>
              <a:graphicData uri="http://schemas.openxmlformats.org/drawingml/2006/picture">
                <pic:pic>
                  <pic:nvPicPr>
                    <pic:cNvPr descr="figures/figS3_c3_ablation.png" id="93" name="Picture"/>
                    <pic:cNvPicPr>
                      <a:picLocks noChangeArrowheads="1" noChangeAspect="1"/>
                    </pic:cNvPicPr>
                  </pic:nvPicPr>
                  <pic:blipFill>
                    <a:blip r:embed="rId91"/>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Figure S3</w:t>
      </w:r>
    </w:p>
    <w:p>
      <w:pPr>
        <w:pStyle w:val="Compact"/>
        <w:numPr>
          <w:ilvl w:val="0"/>
          <w:numId w:val="1025"/>
        </w:numPr>
      </w:pPr>
      <w:r>
        <w:rPr>
          <w:b/>
          <w:bCs/>
        </w:rPr>
        <w:t xml:space="preserve">Figure S3.</w:t>
      </w:r>
      <w:r>
        <w:t xml:space="preserve"> </w:t>
      </w:r>
      <w:r>
        <w:t xml:space="preserve">Synthetic deep-pocket ablation (single-stage vs C3 vs C3b; six reaction presets; see Section 4.6). The x-axis lists the six presets; bars are coloured: deep red = single-stage (full P1–P4 constraints throughout), grey = C3 two-step (unconstrained Phase-1 + 15 Å anchor filter + L-BFGS Phase-2 refinement), blue = C3b (broad/weak Gaussian attractor, σ×3, ε×0.15). The y-axis is the reactive distance d(SG–nucleophile) in the docked pose; the dashed line is the 2.6 Å convergence threshold; bar tops are measured values.</w:t>
      </w:r>
      <w:r>
        <w:t xml:space="preserve"> </w:t>
      </w:r>
      <w:r>
        <w:rPr>
          <w:b/>
          <w:bCs/>
        </w:rPr>
        <w:t xml:space="preserve">Convergence: single 5/6, c3b 3/6, c3 0/6</w:t>
      </w:r>
      <w:r>
        <w:t xml:space="preserve">, single-stage’s persistent P1 gradient steers the MC toward the narrow pocket mouth; the unconstrained Phase-1 in plain C3 loses direction; C3b’s weak attractor partially restores it (3/6 vs 0/6). The +8% Phase-2 convergence claim from the early design document (LKINA.md §5.4.3, same provenance as the unreproducible 292/56/41 numbers) is</w:t>
      </w:r>
      <w:r>
        <w:t xml:space="preserve"> </w:t>
      </w:r>
      <w:r>
        <w:rPr>
          <w:b/>
          <w:bCs/>
        </w:rPr>
        <w:t xml:space="preserve">not recovered</w:t>
      </w:r>
      <w:r>
        <w:t xml:space="preserve"> </w:t>
      </w:r>
      <w:r>
        <w:t xml:space="preserve">on this synthetic design. C3’s benefit is regime-dependent and requires realistic pockets with competing local minima for further evaluation.</w:t>
      </w:r>
    </w:p>
    <w:p>
      <w:pPr>
        <w:pStyle w:val="CaptionedFigure"/>
      </w:pPr>
      <w:r>
        <w:drawing>
          <wp:inline>
            <wp:extent cx="5334000" cy="2815166"/>
            <wp:effectExtent b="0" l="0" r="0" t="0"/>
            <wp:docPr descr="Figure S4" title="" id="95" name="Picture"/>
            <a:graphic>
              <a:graphicData uri="http://schemas.openxmlformats.org/drawingml/2006/picture">
                <pic:pic>
                  <pic:nvPicPr>
                    <pic:cNvPr descr="figures/figS4_metallocomplex.png" id="96" name="Picture"/>
                    <pic:cNvPicPr>
                      <a:picLocks noChangeArrowheads="1" noChangeAspect="1"/>
                    </pic:cNvPicPr>
                  </pic:nvPicPr>
                  <pic:blipFill>
                    <a:blip r:embed="rId94"/>
                    <a:stretch>
                      <a:fillRect/>
                    </a:stretch>
                  </pic:blipFill>
                  <pic:spPr bwMode="auto">
                    <a:xfrm>
                      <a:off x="0" y="0"/>
                      <a:ext cx="5334000" cy="2815166"/>
                    </a:xfrm>
                    <a:prstGeom prst="rect">
                      <a:avLst/>
                    </a:prstGeom>
                    <a:noFill/>
                    <a:ln w="9525">
                      <a:noFill/>
                      <a:headEnd/>
                      <a:tailEnd/>
                    </a:ln>
                  </pic:spPr>
                </pic:pic>
              </a:graphicData>
            </a:graphic>
          </wp:inline>
        </w:drawing>
      </w:r>
    </w:p>
    <w:p>
      <w:pPr>
        <w:pStyle w:val="ImageCaption"/>
      </w:pPr>
      <w:r>
        <w:t xml:space="preserve">Figure S4</w:t>
      </w:r>
    </w:p>
    <w:p>
      <w:pPr>
        <w:pStyle w:val="Compact"/>
        <w:numPr>
          <w:ilvl w:val="0"/>
          <w:numId w:val="1026"/>
        </w:numPr>
      </w:pPr>
      <w:r>
        <w:rPr>
          <w:b/>
          <w:bCs/>
        </w:rPr>
        <w:t xml:space="preserve">Figure S4.</w:t>
      </w:r>
      <w:r>
        <w:t xml:space="preserve"> </w:t>
      </w:r>
      <w:r>
        <w:t xml:space="preserve">Metal-as-ligand redocking on the full Pt/Pd/Ru/Os/Re pool (n=20; see Section 4.6). The x-axis lists the 20 PDB entries (with the metal family and ligand residue name in the secondary label); the y-axis is top-1 RMSD against the crystal pose. Dark red = LKina metal-as-ligand mode (</w:t>
      </w:r>
      <w:r>
        <w:rPr>
          <w:rStyle w:val="VerbatimChar"/>
        </w:rPr>
        <w:t xml:space="preserve">--ligand_metal_geometry_weight 1.0</w:t>
      </w:r>
      <w:r>
        <w:t xml:space="preserve">); cream = the same engine with</w:t>
      </w:r>
      <w:r>
        <w:t xml:space="preserve"> </w:t>
      </w:r>
      <w:r>
        <w:rPr>
          <w:rStyle w:val="VerbatimChar"/>
        </w:rPr>
        <w:t xml:space="preserve">--no_auto_metal</w:t>
      </w:r>
      <w:r>
        <w:t xml:space="preserve"> </w:t>
      </w:r>
      <w:r>
        <w:t xml:space="preserve">(standard AD4); the dashed line is the 2.0 Å redock-success threshold.</w:t>
      </w:r>
      <w:r>
        <w:t xml:space="preserve"> </w:t>
      </w:r>
      <w:r>
        <w:rPr>
          <w:b/>
          <w:bCs/>
        </w:rPr>
        <w:t xml:space="preserve">Vina 1.2.7 failed 20/20 at parse time</w:t>
      </w:r>
      <w:r>
        <w:t xml:space="preserve"> </w:t>
      </w:r>
      <w:r>
        <w:t xml:space="preserve">(the 32-type XS system has no entries for PT/PD/RU/OS/RE), see subtitle. LKina’s metal-as-ligand mode beats its own AD4 baseline on 6/20 systems (median |dRMSD| improvement 1.92 Å), confirming that the reverse metal–donor pair potentials and the ligand-side geometry QC are active; the global RMSD ≤ 2.0 Å count is 1/20 (6IG4_PT 1.49 Å) because flexible metal complexes are intrinsically hard to redock with a global-RMSD metric, the chemistry-relevant test for these ligands is whether the docked pose is coordination-competent (cf. the donor–metal distance metric in Section 3.6).</w:t>
      </w:r>
    </w:p>
    <w:bookmarkEnd w:id="97"/>
    <w:bookmarkEnd w:id="98"/>
    <w:bookmarkStart w:id="99" w:name="conclusion"/>
    <w:p>
      <w:pPr>
        <w:pStyle w:val="Heading2"/>
      </w:pPr>
      <w:r>
        <w:t xml:space="preserve">5. Conclusion</w:t>
      </w:r>
    </w:p>
    <w:p>
      <w:pPr>
        <w:pStyle w:val="FirstParagraph"/>
      </w:pPr>
      <w:r>
        <w:t xml:space="preserve">LKina implements and validates an engineering framework for metal-aware and covalent-reactive docking inside AutoDock Vina 1.2.7, without sacrificing its search machinery or backward compatibility. A 113-type AD4 atom system, four coordination pseudoatom geometries, BVS oxidation-state inference, Jahn–Teller modes, a semi-explicit water-bridge model, and an inline AG4 grid generator make metalloenzyme docking self-contained. The evidence supports the following, and only the following, conclusions: every implemented metal mode parses and completes (110/110 synthetic modes; Vina 1.2.7 parses 34/110) with a mean coordination error of 0.20 Å on those systems; on a real Zn metalloprotein, LKina alone recovers Zn–N coordination at 2.19 Å with an explicit coordination report; on a PDB-derived redocking benchmark (104 systems, Zn²⁺/Fe³⁺/Cu²⁺), enabling the coordination model places the best-pose ligand donor within the 3.0 Å coordination sphere in 90.6% of systems, versus 27.8% for the same engine with the model disabled and 52.1% for Vina 1.2.7, while top-1 RMSD success remains moderate for all engines and is not uniformly improved; the P1–P4 reactive framework completes all six presets with genuine NAC discrimination; and standard docking reproduces Vina 1.2.7 energies exactly. What the evidence does not yet establish is predictive accuracy at scale: the benchmarks cover three metal types under one preparation protocol, no independent large-scale comparison against metal-specialized or covalent methods has been run, and all scores are empirical docking scores rather than calibrated energies. We therefore position LKina as a verified, open-source software extension whose coordination-geometry behavior is reproducibly measurable, not as a validated general-purpose prediction engine; claiming broad accuracy or superiority will require the independent, multi-seed, protocol-controlled comparisons outlined in Section 4.6.</w:t>
      </w:r>
    </w:p>
    <w:p>
      <w:r>
        <w:pict>
          <v:rect style="width:0;height:1.5pt" o:hralign="center" o:hrstd="t" o:hr="t"/>
        </w:pict>
      </w:r>
    </w:p>
    <w:bookmarkEnd w:id="99"/>
    <w:bookmarkStart w:id="100" w:name="data-and-code-availability"/>
    <w:p>
      <w:pPr>
        <w:pStyle w:val="Heading2"/>
      </w:pPr>
      <w:r>
        <w:t xml:space="preserve">6. Data and code availability</w:t>
      </w:r>
    </w:p>
    <w:p>
      <w:pPr>
        <w:pStyle w:val="FirstParagraph"/>
      </w:pPr>
      <w:r>
        <w:t xml:space="preserve">LKina is open source at https://github.com/LK-Studio1128/LKina, including the source code, build scripts (macOS arm64/x86_64, Linux x86_64, Windows MSYS2/MinGW), the regression suite, and release binaries. License: the combined binary is distributed under GPL-3.0-or-later (Vina-origin files remain Apache-2.0; the AG4 engine and parameter data are GPL-3.0-or-later; see</w:t>
      </w:r>
      <w:r>
        <w:t xml:space="preserve"> </w:t>
      </w:r>
      <w:r>
        <w:rPr>
          <w:rStyle w:val="VerbatimChar"/>
        </w:rPr>
        <w:t xml:space="preserve">COPYING</w:t>
      </w:r>
      <w:r>
        <w:t xml:space="preserve">/</w:t>
      </w:r>
      <w:r>
        <w:rPr>
          <w:rStyle w:val="VerbatimChar"/>
        </w:rPr>
        <w:t xml:space="preserve">NOTICE</w:t>
      </w:r>
      <w:r>
        <w:t xml:space="preserve">). Benchmark data: the PDB-derived Zn²⁺/Fe³⁺/Cu²⁺ redocking sets (Section 3.6) are regenerated by</w:t>
      </w:r>
      <w:r>
        <w:t xml:space="preserve"> </w:t>
      </w:r>
      <w:r>
        <w:rPr>
          <w:rStyle w:val="VerbatimChar"/>
        </w:rPr>
        <w:t xml:space="preserve">benchmarks/redock_benchmark/redock_pipeline.py</w:t>
      </w:r>
      <w:r>
        <w:t xml:space="preserve"> </w:t>
      </w:r>
      <w:r>
        <w:t xml:space="preserve">from the RCSB PDB </w:t>
      </w:r>
      <w:r>
        <w:rPr>
          <w:vertAlign w:val="superscript"/>
          <w:sz w:val="18"/>
        </w:rPr>
        <w:t>[16]</w:t>
      </w:r>
      <w:r>
        <w:t xml:space="preserve">, with JSON results deposited in</w:t>
      </w:r>
      <w:r>
        <w:t xml:space="preserve"> </w:t>
      </w:r>
      <w:r>
        <w:rPr>
          <w:rStyle w:val="VerbatimChar"/>
        </w:rPr>
        <w:t xml:space="preserve">benchmarks/redock_benchmark/results/</w:t>
      </w:r>
      <w:r>
        <w:t xml:space="preserve">. The 110-mode synthetic metal benchmark, the feature-family measurements, and the four-tier covalent framework benchmark are all reproducible from</w:t>
      </w:r>
      <w:r>
        <w:t xml:space="preserve"> </w:t>
      </w:r>
      <w:r>
        <w:rPr>
          <w:rStyle w:val="VerbatimChar"/>
        </w:rPr>
        <w:t xml:space="preserve">benchmarks/</w:t>
      </w:r>
      <w:r>
        <w:t xml:space="preserve"> </w:t>
      </w:r>
      <w:r>
        <w:t xml:space="preserve">(see Appendix E); every run used seed 42 for exact reproducibility. The v1.0.2 snapshot is archived on Zenodo: https://doi.org/10.5281/zenodo.22156943 </w:t>
      </w:r>
      <w:r>
        <w:rPr>
          <w:vertAlign w:val="superscript"/>
          <w:sz w:val="18"/>
        </w:rPr>
        <w:t>[21]</w:t>
      </w:r>
      <w:r>
        <w:t xml:space="preserve">, corresponding to release tag</w:t>
      </w:r>
      <w:r>
        <w:t xml:space="preserve"> </w:t>
      </w:r>
      <w:r>
        <w:rPr>
          <w:rStyle w:val="VerbatimChar"/>
        </w:rPr>
        <w:t xml:space="preserve">v1.0.2-archival</w:t>
      </w:r>
      <w:r>
        <w:t xml:space="preserve"> </w:t>
      </w:r>
      <w:r>
        <w:t xml:space="preserve">(commit</w:t>
      </w:r>
      <w:r>
        <w:t xml:space="preserve"> </w:t>
      </w:r>
      <w:r>
        <w:rPr>
          <w:rStyle w:val="VerbatimChar"/>
        </w:rPr>
        <w:t xml:space="preserve">730376b17641720497bbb42a9829b9f415f89489</w:t>
      </w:r>
      <w:r>
        <w:t xml:space="preserve">). Build environment: macOS 14 ARM64 (Apple clang++ 14, libomp via Homebrew) and Ubuntu 22.04 (g++ 11); dependency versions and CI build matrices are pinned in the repository workflows (</w:t>
      </w:r>
      <w:r>
        <w:rPr>
          <w:rStyle w:val="VerbatimChar"/>
        </w:rPr>
        <w:t xml:space="preserve">.github/workflows/</w:t>
      </w:r>
      <w:r>
        <w:t xml:space="preserve">). Deposited per-benchmark artifacts include input PDBQTs, preprocessing scripts, complete command lines, fixed seeds, raw output poses, JSON results, and the failure cases discussed in Sections 3.3 and 4.5.</w:t>
      </w:r>
    </w:p>
    <w:bookmarkEnd w:id="100"/>
    <w:bookmarkStart w:id="101" w:name="acknowledgements"/>
    <w:p>
      <w:pPr>
        <w:pStyle w:val="Heading2"/>
      </w:pPr>
      <w:r>
        <w:t xml:space="preserve">Acknowledgements</w:t>
      </w:r>
    </w:p>
    <w:p>
      <w:pPr>
        <w:pStyle w:val="FirstParagraph"/>
      </w:pPr>
      <w:r>
        <w:t xml:space="preserve">LKina builds on the AutoDock ecosystem developed by the Olson and Forli labs at The Scripps Research Institute, AutoDock Vina </w:t>
      </w:r>
      <w:r>
        <w:rPr>
          <w:vertAlign w:val="superscript"/>
          <w:sz w:val="18"/>
        </w:rPr>
        <w:t>[1,2]</w:t>
      </w:r>
      <w:r>
        <w:t xml:space="preserve">, AutoDock4/AutoDockTools </w:t>
      </w:r>
      <w:r>
        <w:rPr>
          <w:vertAlign w:val="superscript"/>
          <w:sz w:val="18"/>
        </w:rPr>
        <w:t>[3]</w:t>
      </w:r>
      <w:r>
        <w:t xml:space="preserve">, AutoGrid4, and AutoDock4Zn </w:t>
      </w:r>
      <w:r>
        <w:rPr>
          <w:vertAlign w:val="superscript"/>
          <w:sz w:val="18"/>
        </w:rPr>
        <w:t>[6]</w:t>
      </w:r>
      <w:r>
        <w:t xml:space="preserve">. We gratefully acknowledge Santos-Martins</w:t>
      </w:r>
      <w:r>
        <w:t xml:space="preserve"> </w:t>
      </w:r>
      <w:r>
        <w:rPr>
          <w:i/>
          <w:iCs/>
        </w:rPr>
        <w:t xml:space="preserve">et al.</w:t>
      </w:r>
      <w:r>
        <w:t xml:space="preserve"> </w:t>
      </w:r>
      <w:r>
        <w:t xml:space="preserve">for the 292-complex Zn²⁺ benchmark protocol and dataset, and Hakkennes</w:t>
      </w:r>
      <w:r>
        <w:t xml:space="preserve"> </w:t>
      </w:r>
      <w:r>
        <w:rPr>
          <w:i/>
          <w:iCs/>
        </w:rPr>
        <w:t xml:space="preserve">et al.</w:t>
      </w:r>
      <w:r>
        <w:t xml:space="preserve"> </w:t>
      </w:r>
      <w:r>
        <w:t xml:space="preserve">for MetalDock </w:t>
      </w:r>
      <w:r>
        <w:rPr>
          <w:vertAlign w:val="superscript"/>
          <w:sz w:val="18"/>
        </w:rPr>
        <w:t>[7]</w:t>
      </w:r>
      <w:r>
        <w:t xml:space="preserve">, whose optimized metal parameters inform LKina’s reverse pair potentials. Meeko </w:t>
      </w:r>
      <w:r>
        <w:rPr>
          <w:vertAlign w:val="superscript"/>
          <w:sz w:val="18"/>
        </w:rPr>
        <w:t>[17]</w:t>
      </w:r>
      <w:r>
        <w:t xml:space="preserve"> and Open Babel </w:t>
      </w:r>
      <w:r>
        <w:rPr>
          <w:vertAlign w:val="superscript"/>
          <w:sz w:val="18"/>
        </w:rPr>
        <w:t>[18]</w:t>
      </w:r>
      <w:r>
        <w:t xml:space="preserve"> are used in the preparation pipeline.</w:t>
      </w:r>
    </w:p>
    <w:bookmarkEnd w:id="101"/>
    <w:bookmarkStart w:id="102" w:name="author-contributions"/>
    <w:p>
      <w:pPr>
        <w:pStyle w:val="Heading2"/>
      </w:pPr>
      <w:r>
        <w:t xml:space="preserve">Author contributions</w:t>
      </w:r>
    </w:p>
    <w:p>
      <w:pPr>
        <w:pStyle w:val="FirstParagraph"/>
      </w:pPr>
      <w:r>
        <w:t xml:space="preserve">LK-Studio1128 conceived and implemented LKina, designed and ran all benchmarks, and wrote the manuscript.</w:t>
      </w:r>
    </w:p>
    <w:bookmarkEnd w:id="102"/>
    <w:bookmarkStart w:id="103"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103"/>
    <w:bookmarkStart w:id="104" w:name="Xbd597dbcad1e7ef0e5bd285ebc49d05e35ade62"/>
    <w:p>
      <w:pPr>
        <w:pStyle w:val="Heading2"/>
      </w:pPr>
      <w:r>
        <w:t xml:space="preserve">Appendix E. Benchmark corpus summary (full reproducibility)</w:t>
      </w:r>
    </w:p>
    <w:p>
      <w:pPr>
        <w:pStyle w:val="FirstParagraph"/>
      </w:pPr>
      <w:r>
        <w:t xml:space="preserve">All measured numbers in the paper are reproducible from the repository (</w:t>
      </w:r>
      <w:r>
        <w:rPr>
          <w:rStyle w:val="VerbatimChar"/>
        </w:rPr>
        <w:t xml:space="preserve">benchmarks/</w:t>
      </w:r>
      <w:r>
        <w:t xml:space="preserve">); the live binaries used are the post-fix engine (metal-mode AD4 scoring fixes, tagged</w:t>
      </w:r>
      <w:r>
        <w:t xml:space="preserve"> </w:t>
      </w:r>
      <w:r>
        <w:rPr>
          <w:rStyle w:val="VerbatimChar"/>
        </w:rPr>
        <w:t xml:space="preserve">v1.0.2</w:t>
      </w:r>
      <w:r>
        <w:t xml:space="preserve">; see Section 3.2.1). The table below summarises the entire benchmark corpus, with the JSON outputs that the scripts deposit next to themselves (</w:t>
      </w:r>
      <w:r>
        <w:rPr>
          <w:rStyle w:val="VerbatimChar"/>
        </w:rPr>
        <w:t xml:space="preserve">metal_coverage_results_all.json</w:t>
      </w:r>
      <w:r>
        <w:t xml:space="preserve">,</w:t>
      </w:r>
      <w:r>
        <w:t xml:space="preserve"> </w:t>
      </w:r>
      <w:r>
        <w:rPr>
          <w:rStyle w:val="VerbatimChar"/>
        </w:rPr>
        <w:t xml:space="preserve">feature_family_results.json</w:t>
      </w:r>
      <w:r>
        <w:t xml:space="preserve">,</w:t>
      </w:r>
      <w:r>
        <w:t xml:space="preserve"> </w:t>
      </w:r>
      <w:r>
        <w:rPr>
          <w:rStyle w:val="VerbatimChar"/>
        </w:rPr>
        <w:t xml:space="preserve">covalent_full_results.json</w:t>
      </w:r>
      <w:r>
        <w:t xml:space="preserve">).</w:t>
      </w:r>
    </w:p>
    <w:p>
      <w:pPr>
        <w:pStyle w:val="BodyText"/>
      </w:pPr>
      <w:r>
        <w:rPr>
          <w:b/>
          <w:bCs/>
        </w:rPr>
        <w:t xml:space="preserve">Table 10.</w:t>
      </w:r>
      <w:r>
        <w:t xml:space="preserve"> </w:t>
      </w:r>
      <w:r>
        <w:t xml:space="preserve">Benchmark corpus summary (full reproducibility).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Benchmark</w:t>
            </w:r>
          </w:p>
        </w:tc>
        <w:tc>
          <w:tcPr/>
          <w:p>
            <w:pPr>
              <w:pStyle w:val="Compact"/>
            </w:pPr>
            <w:r>
              <w:t xml:space="preserve">System</w:t>
            </w:r>
          </w:p>
        </w:tc>
        <w:tc>
          <w:tcPr/>
          <w:p>
            <w:pPr>
              <w:pStyle w:val="Compact"/>
            </w:pPr>
            <w:r>
              <w:t xml:space="preserve">Metric</w:t>
            </w:r>
          </w:p>
        </w:tc>
        <w:tc>
          <w:tcPr/>
          <w:p>
            <w:pPr>
              <w:pStyle w:val="Compact"/>
            </w:pPr>
            <w:r>
              <w:t xml:space="preserve">Value</w:t>
            </w:r>
          </w:p>
        </w:tc>
        <w:tc>
          <w:tcPr/>
          <w:p>
            <w:pPr>
              <w:pStyle w:val="Compact"/>
            </w:pPr>
            <w:r>
              <w:t xml:space="preserve">File</w:t>
            </w:r>
          </w:p>
        </w:tc>
      </w:tr>
      <w:tr>
        <w:tc>
          <w:tcPr/>
          <w:p>
            <w:pPr>
              <w:pStyle w:val="Compact"/>
            </w:pPr>
            <w:r>
              <w:t xml:space="preserve">Engine fix</w:t>
            </w:r>
          </w:p>
        </w:tc>
        <w:tc>
          <w:tcPr/>
          <w:p>
            <w:pPr>
              <w:pStyle w:val="Compact"/>
            </w:pPr>
            <w:r>
              <w:t xml:space="preserve">synthetic</w:t>
            </w:r>
          </w:p>
        </w:tc>
        <w:tc>
          <w:tcPr/>
          <w:p>
            <w:pPr>
              <w:pStyle w:val="Compact"/>
            </w:pPr>
            <w:r>
              <w:rPr>
                <w:rStyle w:val="VerbatimChar"/>
              </w:rPr>
              <w:t xml:space="preserve">AG4_EINTCLAMP</w:t>
            </w:r>
            <w:r>
              <w:t xml:space="preserve"> </w:t>
            </w:r>
            <w:r>
              <w:t xml:space="preserve">aligned to official semantics (pairwise LJ-table clamp of 100000; map-total ±1000 two-sided clamp removed)</w:t>
            </w:r>
          </w:p>
        </w:tc>
        <w:tc>
          <w:tcPr/>
          <w:p>
            <w:pPr>
              <w:pStyle w:val="Compact"/>
            </w:pPr>
            <w:r>
              <w:t xml:space="preserve">applied</w:t>
            </w:r>
          </w:p>
        </w:tc>
        <w:tc>
          <w:tcPr/>
          <w:p>
            <w:pPr>
              <w:pStyle w:val="Compact"/>
            </w:pPr>
            <w:r>
              <w:rPr>
                <w:rStyle w:val="VerbatimChar"/>
              </w:rPr>
              <w:t xml:space="preserve">src/lib/ag4_engine.cpp</w:t>
            </w:r>
          </w:p>
        </w:tc>
      </w:tr>
      <w:tr>
        <w:tc>
          <w:tcPr/>
          <w:p>
            <w:pPr>
              <w:pStyle w:val="Compact"/>
            </w:pPr>
            <w:r>
              <w:t xml:space="preserve">Engine fix</w:t>
            </w:r>
          </w:p>
        </w:tc>
        <w:tc>
          <w:tcPr/>
          <w:p>
            <w:pPr>
              <w:pStyle w:val="Compact"/>
            </w:pPr>
            <w:r>
              <w:t xml:space="preserve">synthetic</w:t>
            </w:r>
          </w:p>
        </w:tc>
        <w:tc>
          <w:tcPr/>
          <w:p>
            <w:pPr>
              <w:pStyle w:val="Compact"/>
            </w:pPr>
            <w:r>
              <w:rPr>
                <w:rStyle w:val="VerbatimChar"/>
              </w:rPr>
              <w:t xml:space="preserve">--no_auto_metal</w:t>
            </w:r>
            <w:r>
              <w:t xml:space="preserve"> </w:t>
            </w:r>
            <w:r>
              <w:t xml:space="preserve">flag</w:t>
            </w:r>
          </w:p>
        </w:tc>
        <w:tc>
          <w:tcPr/>
          <w:p>
            <w:pPr>
              <w:pStyle w:val="Compact"/>
            </w:pPr>
            <w:r>
              <w:t xml:space="preserve">applied</w:t>
            </w:r>
          </w:p>
        </w:tc>
        <w:tc>
          <w:tcPr/>
          <w:p>
            <w:pPr>
              <w:pStyle w:val="Compact"/>
            </w:pPr>
            <w:r>
              <w:rPr>
                <w:rStyle w:val="VerbatimChar"/>
              </w:rPr>
              <w:t xml:space="preserve">src/main/main.cpp</w:t>
            </w:r>
          </w:p>
        </w:tc>
      </w:tr>
      <w:tr>
        <w:tc>
          <w:tcPr/>
          <w:p>
            <w:pPr>
              <w:pStyle w:val="Compact"/>
            </w:pPr>
            <w:r>
              <w:t xml:space="preserve">All-metal coverage</w:t>
            </w:r>
          </w:p>
        </w:tc>
        <w:tc>
          <w:tcPr/>
          <w:p>
            <w:pPr>
              <w:pStyle w:val="Compact"/>
            </w:pPr>
            <w:r>
              <w:t xml:space="preserve">110 synthetic</w:t>
            </w:r>
          </w:p>
        </w:tc>
        <w:tc>
          <w:tcPr/>
          <w:p>
            <w:pPr>
              <w:pStyle w:val="Compact"/>
            </w:pPr>
            <w:r>
              <w:t xml:space="preserve">LKina dock-OK</w:t>
            </w:r>
          </w:p>
        </w:tc>
        <w:tc>
          <w:tcPr/>
          <w:p>
            <w:pPr>
              <w:pStyle w:val="Compact"/>
            </w:pPr>
            <w:r>
              <w:t xml:space="preserve">110/110</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Vina 1.2.7 dock-OK</w:t>
            </w:r>
          </w:p>
        </w:tc>
        <w:tc>
          <w:tcPr/>
          <w:p>
            <w:pPr>
              <w:pStyle w:val="Compact"/>
            </w:pPr>
            <w:r>
              <w:t xml:space="preserve">34/110 (76 fail type parse)</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LKina |d–d₀| mean</w:t>
            </w:r>
          </w:p>
        </w:tc>
        <w:tc>
          <w:tcPr/>
          <w:p>
            <w:pPr>
              <w:pStyle w:val="Compact"/>
            </w:pPr>
            <w:r>
              <w:t xml:space="preserve">0.20 Å</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LKina |d–d₀| &lt; 0.5 Å</w:t>
            </w:r>
          </w:p>
        </w:tc>
        <w:tc>
          <w:tcPr/>
          <w:p>
            <w:pPr>
              <w:pStyle w:val="Compact"/>
            </w:pPr>
            <w:r>
              <w:t xml:space="preserve">108/110</w:t>
            </w:r>
          </w:p>
        </w:tc>
        <w:tc>
          <w:tcPr/>
          <w:p>
            <w:pPr>
              <w:pStyle w:val="Compact"/>
            </w:pPr>
            <w:r>
              <w:rPr>
                <w:rStyle w:val="VerbatimChar"/>
              </w:rPr>
              <w:t xml:space="preserve">run_all_metal_modes.py</w:t>
            </w:r>
          </w:p>
        </w:tc>
      </w:tr>
      <w:tr>
        <w:tc>
          <w:tcPr/>
          <w:p>
            <w:pPr>
              <w:pStyle w:val="Compact"/>
            </w:pPr>
            <w:r>
              <w:t xml:space="preserve">Pseudoatom check</w:t>
            </w:r>
          </w:p>
        </w:tc>
        <w:tc>
          <w:tcPr/>
          <w:p>
            <w:pPr>
              <w:pStyle w:val="Compact"/>
            </w:pPr>
            <w:r>
              <w:t xml:space="preserve">5 metals</w:t>
            </w:r>
          </w:p>
        </w:tc>
        <w:tc>
          <w:tcPr/>
          <w:p>
            <w:pPr>
              <w:pStyle w:val="Compact"/>
            </w:pPr>
            <w:r>
              <w:t xml:space="preserve">ideal/good donor count</w:t>
            </w:r>
          </w:p>
        </w:tc>
        <w:tc>
          <w:tcPr/>
          <w:p>
            <w:pPr>
              <w:pStyle w:val="Compact"/>
            </w:pPr>
            <w:r>
              <w:t xml:space="preserve">3/3 3/3 5/5 4/4 4/4</w:t>
            </w:r>
          </w:p>
        </w:tc>
        <w:tc>
          <w:tcPr/>
          <w:p>
            <w:pPr>
              <w:pStyle w:val="Compact"/>
            </w:pPr>
            <w:r>
              <w:rPr>
                <w:rStyle w:val="VerbatimChar"/>
              </w:rPr>
              <w:t xml:space="preserve">run_feature_family_tests.py</w:t>
            </w:r>
          </w:p>
        </w:tc>
      </w:tr>
      <w:tr>
        <w:tc>
          <w:tcPr/>
          <w:p>
            <w:pPr>
              <w:pStyle w:val="Compact"/>
            </w:pPr>
            <w:r>
              <w:t xml:space="preserve">BVS inference</w:t>
            </w:r>
          </w:p>
        </w:tc>
        <w:tc>
          <w:tcPr/>
          <w:p>
            <w:pPr>
              <w:pStyle w:val="Compact"/>
            </w:pPr>
            <w:r>
              <w:t xml:space="preserve">14 designs</w:t>
            </w:r>
          </w:p>
        </w:tc>
        <w:tc>
          <w:tcPr/>
          <w:p>
            <w:pPr>
              <w:pStyle w:val="Compact"/>
            </w:pPr>
            <w:r>
              <w:t xml:space="preserve">oxidation state correct</w:t>
            </w:r>
          </w:p>
        </w:tc>
        <w:tc>
          <w:tcPr/>
          <w:p>
            <w:pPr>
              <w:pStyle w:val="Compact"/>
            </w:pPr>
            <w:r>
              <w:t xml:space="preserve">14/14</w:t>
            </w:r>
          </w:p>
        </w:tc>
        <w:tc>
          <w:tcPr/>
          <w:p>
            <w:pPr>
              <w:pStyle w:val="Compact"/>
            </w:pPr>
            <w:r>
              <w:rPr>
                <w:rStyle w:val="VerbatimChar"/>
              </w:rPr>
              <w:t xml:space="preserve">run_feature_family_tests.py</w:t>
            </w:r>
          </w:p>
        </w:tc>
      </w:tr>
      <w:tr>
        <w:tc>
          <w:tcPr/>
          <w:p>
            <w:pPr>
              <w:pStyle w:val="Compact"/>
            </w:pPr>
            <w:r>
              <w:t xml:space="preserve">Water bridge</w:t>
            </w:r>
          </w:p>
        </w:tc>
        <w:tc>
          <w:tcPr/>
          <w:p>
            <w:pPr>
              <w:pStyle w:val="Compact"/>
            </w:pPr>
            <w:r>
              <w:t xml:space="preserve">Mg (4/6 coord)</w:t>
            </w:r>
          </w:p>
        </w:tc>
        <w:tc>
          <w:tcPr/>
          <w:p>
            <w:pPr>
              <w:pStyle w:val="Compact"/>
            </w:pPr>
            <w:r>
              <w:rPr>
                <w:rStyle w:val="VerbatimChar"/>
              </w:rPr>
              <w:t xml:space="preserve">METAL_WATER_E</w:t>
            </w:r>
            <w:r>
              <w:t xml:space="preserve"> </w:t>
            </w:r>
            <w:r>
              <w:t xml:space="preserve">emitted</w:t>
            </w:r>
          </w:p>
        </w:tc>
        <w:tc>
          <w:tcPr/>
          <w:p>
            <w:pPr>
              <w:pStyle w:val="Compact"/>
            </w:pPr>
            <w:r>
              <w:t xml:space="preserve">yes</w:t>
            </w:r>
          </w:p>
        </w:tc>
        <w:tc>
          <w:tcPr/>
          <w:p>
            <w:pPr>
              <w:pStyle w:val="Compact"/>
            </w:pPr>
            <w:r>
              <w:rPr>
                <w:rStyle w:val="VerbatimChar"/>
              </w:rPr>
              <w:t xml:space="preserve">run_feature_family_tests.py</w:t>
            </w:r>
          </w:p>
        </w:tc>
      </w:tr>
      <w:tr>
        <w:tc>
          <w:tcPr/>
          <w:p>
            <w:pPr>
              <w:pStyle w:val="Compact"/>
            </w:pPr>
            <w:r>
              <w:t xml:space="preserve">Metal-as-ligand</w:t>
            </w:r>
          </w:p>
        </w:tc>
        <w:tc>
          <w:tcPr/>
          <w:p>
            <w:pPr>
              <w:pStyle w:val="Compact"/>
            </w:pPr>
            <w:r>
              <w:t xml:space="preserve">Pt sq-planar ideal / distorted</w:t>
            </w:r>
          </w:p>
        </w:tc>
        <w:tc>
          <w:tcPr/>
          <w:p>
            <w:pPr>
              <w:pStyle w:val="Compact"/>
            </w:pPr>
            <w:r>
              <w:t xml:space="preserve">penalty</w:t>
            </w:r>
          </w:p>
        </w:tc>
        <w:tc>
          <w:tcPr/>
          <w:p>
            <w:pPr>
              <w:pStyle w:val="Compact"/>
            </w:pPr>
            <w:r>
              <w:t xml:space="preserve">0.003 vs 0.903 kcal/mol</w:t>
            </w:r>
          </w:p>
        </w:tc>
        <w:tc>
          <w:tcPr/>
          <w:p>
            <w:pPr>
              <w:pStyle w:val="Compact"/>
            </w:pPr>
            <w:r>
              <w:rPr>
                <w:rStyle w:val="VerbatimChar"/>
              </w:rPr>
              <w:t xml:space="preserve">run_feature_family_tests.py</w:t>
            </w:r>
          </w:p>
        </w:tc>
      </w:tr>
      <w:tr>
        <w:tc>
          <w:tcPr/>
          <w:p>
            <w:pPr>
              <w:pStyle w:val="Compact"/>
            </w:pPr>
            <w:r>
              <w:t xml:space="preserve">Covalent P1</w:t>
            </w:r>
          </w:p>
        </w:tc>
        <w:tc>
          <w:tcPr/>
          <w:p>
            <w:pPr>
              <w:pStyle w:val="Compact"/>
            </w:pPr>
            <w:r>
              <w:t xml:space="preserve">6 presets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Covalent P1+P2</w:t>
            </w:r>
          </w:p>
        </w:tc>
        <w:tc>
          <w:tcPr/>
          <w:p>
            <w:pPr>
              <w:pStyle w:val="Compact"/>
            </w:pPr>
            <w:r>
              <w:t xml:space="preserve">6 presets</w:t>
            </w:r>
          </w:p>
        </w:tc>
        <w:tc>
          <w:tcPr/>
          <w:p>
            <w:pPr>
              <w:pStyle w:val="Compact"/>
            </w:pPr>
            <w:r>
              <w:t xml:space="preserve">rc + NAC</w:t>
            </w:r>
          </w:p>
        </w:tc>
        <w:tc>
          <w:tcPr/>
          <w:p>
            <w:pPr>
              <w:pStyle w:val="Compact"/>
            </w:pPr>
            <w:r>
              <w:t xml:space="preserve">6/6 (NAC=YES 4/6)</w:t>
            </w:r>
          </w:p>
        </w:tc>
        <w:tc>
          <w:tcPr/>
          <w:p>
            <w:pPr>
              <w:pStyle w:val="Compact"/>
            </w:pPr>
            <w:r>
              <w:rPr>
                <w:rStyle w:val="VerbatimChar"/>
              </w:rPr>
              <w:t xml:space="preserve">run_covalent_full.py</w:t>
            </w:r>
          </w:p>
        </w:tc>
      </w:tr>
      <w:tr>
        <w:tc>
          <w:tcPr/>
          <w:p>
            <w:pPr>
              <w:pStyle w:val="Compact"/>
            </w:pPr>
            <w:r>
              <w:t xml:space="preserve">Covalent P4</w:t>
            </w:r>
          </w:p>
        </w:tc>
        <w:tc>
          <w:tcPr/>
          <w:p>
            <w:pPr>
              <w:pStyle w:val="Compact"/>
            </w:pPr>
            <w:r>
              <w:t xml:space="preserve">6 presets × 3 vdw scales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Covalent C3</w:t>
            </w:r>
          </w:p>
        </w:tc>
        <w:tc>
          <w:tcPr/>
          <w:p>
            <w:pPr>
              <w:pStyle w:val="Compact"/>
            </w:pPr>
            <w:r>
              <w:t xml:space="preserve">6 presets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Reactive gradient</w:t>
            </w:r>
          </w:p>
        </w:tc>
        <w:tc>
          <w:tcPr/>
          <w:p>
            <w:pPr>
              <w:pStyle w:val="Compact"/>
            </w:pPr>
            <w:r>
              <w:t xml:space="preserve">6 presets × 7 comps</w:t>
            </w:r>
          </w:p>
        </w:tc>
        <w:tc>
          <w:tcPr/>
          <w:p>
            <w:pPr>
              <w:pStyle w:val="Compact"/>
            </w:pPr>
            <w:r>
              <w:t xml:space="preserve">max |analytic−numeric|</w:t>
            </w:r>
          </w:p>
        </w:tc>
        <w:tc>
          <w:tcPr/>
          <w:p>
            <w:pPr>
              <w:pStyle w:val="Compact"/>
            </w:pPr>
            <w:r>
              <w:t xml:space="preserve">2.4e-16–4.3e-08</w:t>
            </w:r>
          </w:p>
        </w:tc>
        <w:tc>
          <w:tcPr/>
          <w:p>
            <w:pPr>
              <w:pStyle w:val="Compact"/>
            </w:pPr>
            <w:r>
              <w:rPr>
                <w:rStyle w:val="VerbatimChar"/>
              </w:rPr>
              <w:t xml:space="preserve">run_feature_tests.py</w:t>
            </w:r>
          </w:p>
        </w:tc>
      </w:tr>
      <w:tr>
        <w:tc>
          <w:tcPr/>
          <w:p>
            <w:pPr>
              <w:pStyle w:val="Compact"/>
            </w:pPr>
            <w:r>
              <w:t xml:space="preserve">λ-sweep monotonicity (P4)</w:t>
            </w:r>
          </w:p>
        </w:tc>
        <w:tc>
          <w:tcPr/>
          <w:p>
            <w:pPr>
              <w:pStyle w:val="Compact"/>
            </w:pPr>
            <w:r>
              <w:t xml:space="preserve">cys_michael, λ=0/0.5/1.0</w:t>
            </w:r>
          </w:p>
        </w:tc>
        <w:tc>
          <w:tcPr/>
          <w:p>
            <w:pPr>
              <w:pStyle w:val="Compact"/>
            </w:pPr>
            <w:r>
              <w:t xml:space="preserve">energies −10.09/−5.716/−4.734 kcal/mol</w:t>
            </w:r>
          </w:p>
        </w:tc>
        <w:tc>
          <w:tcPr/>
          <w:p>
            <w:pPr>
              <w:pStyle w:val="Compact"/>
            </w:pPr>
            <w:r>
              <w:t xml:space="preserve">monotonically increasing</w:t>
            </w:r>
          </w:p>
        </w:tc>
        <w:tc>
          <w:tcPr/>
          <w:p>
            <w:pPr>
              <w:pStyle w:val="Compact"/>
            </w:pPr>
            <w:r>
              <w:rPr>
                <w:rStyle w:val="VerbatimChar"/>
              </w:rPr>
              <w:t xml:space="preserve">run_covalent_full.py</w:t>
            </w:r>
          </w:p>
        </w:tc>
      </w:tr>
      <w:tr>
        <w:tc>
          <w:tcPr/>
          <w:p>
            <w:pPr>
              <w:pStyle w:val="Compact"/>
            </w:pPr>
            <w:r>
              <w:t xml:space="preserve">Energy well scan</w:t>
            </w:r>
          </w:p>
        </w:tc>
        <w:tc>
          <w:tcPr/>
          <w:p>
            <w:pPr>
              <w:pStyle w:val="Compact"/>
            </w:pPr>
            <w:r>
              <w:t xml:space="preserve">cys_michael</w:t>
            </w:r>
          </w:p>
        </w:tc>
        <w:tc>
          <w:tcPr/>
          <w:p>
            <w:pPr>
              <w:pStyle w:val="Compact"/>
            </w:pPr>
            <w:r>
              <w:t xml:space="preserve">Gaussian bottom at r₀ = 1.82 Å, depth 10 kcal/mol</w:t>
            </w:r>
          </w:p>
        </w:tc>
        <w:tc>
          <w:tcPr/>
          <w:p>
            <w:pPr>
              <w:pStyle w:val="Compact"/>
            </w:pPr>
            <w:r>
              <w:t xml:space="preserve">yes</w:t>
            </w:r>
          </w:p>
        </w:tc>
        <w:tc>
          <w:tcPr/>
          <w:p>
            <w:pPr>
              <w:pStyle w:val="Compact"/>
            </w:pPr>
            <w:r>
              <w:rPr>
                <w:rStyle w:val="VerbatimChar"/>
              </w:rPr>
              <w:t xml:space="preserve">run_covalent_full.py</w:t>
            </w:r>
          </w:p>
        </w:tc>
      </w:tr>
      <w:tr>
        <w:tc>
          <w:tcPr/>
          <w:p>
            <w:pPr>
              <w:pStyle w:val="Compact"/>
            </w:pPr>
            <w:r>
              <w:t xml:space="preserve">generate_maps</w:t>
            </w:r>
          </w:p>
        </w:tc>
        <w:tc>
          <w:tcPr/>
          <w:p>
            <w:pPr>
              <w:pStyle w:val="Compact"/>
            </w:pPr>
            <w:r>
              <w:t xml:space="preserve">8-probe ligand</w:t>
            </w:r>
          </w:p>
        </w:tc>
        <w:tc>
          <w:tcPr/>
          <w:p>
            <w:pPr>
              <w:pStyle w:val="Compact"/>
            </w:pPr>
            <w:r>
              <w:t xml:space="preserve">AutoGrid4-format maps written</w:t>
            </w:r>
          </w:p>
        </w:tc>
        <w:tc>
          <w:tcPr/>
          <w:p>
            <w:pPr>
              <w:pStyle w:val="Compact"/>
            </w:pPr>
            <w:r>
              <w:t xml:space="preserve">108</w:t>
            </w:r>
          </w:p>
        </w:tc>
        <w:tc>
          <w:tcPr/>
          <w:p>
            <w:pPr>
              <w:pStyle w:val="Compact"/>
            </w:pPr>
            <w:r>
              <w:rPr>
                <w:rStyle w:val="VerbatimChar"/>
              </w:rPr>
              <w:t xml:space="preserve">run_covalent_full.py</w:t>
            </w:r>
          </w:p>
        </w:tc>
      </w:tr>
      <w:tr>
        <w:tc>
          <w:tcPr/>
          <w:p>
            <w:pPr>
              <w:pStyle w:val="Compact"/>
            </w:pPr>
            <w:r>
              <w:t xml:space="preserve">Backward compat</w:t>
            </w:r>
          </w:p>
        </w:tc>
        <w:tc>
          <w:tcPr/>
          <w:p>
            <w:pPr>
              <w:pStyle w:val="Compact"/>
            </w:pPr>
            <w:r>
              <w:t xml:space="preserve">1HVR / 3PTB</w:t>
            </w:r>
          </w:p>
        </w:tc>
        <w:tc>
          <w:tcPr/>
          <w:p>
            <w:pPr>
              <w:pStyle w:val="Compact"/>
            </w:pPr>
            <w:r>
              <w:t xml:space="preserve">mode-1 energy vs Vina</w:t>
            </w:r>
          </w:p>
        </w:tc>
        <w:tc>
          <w:tcPr/>
          <w:p>
            <w:pPr>
              <w:pStyle w:val="Compact"/>
            </w:pPr>
            <w:r>
              <w:t xml:space="preserve">−14.54 / −6.202 (identical)</w:t>
            </w:r>
          </w:p>
        </w:tc>
        <w:tc>
          <w:tcPr/>
          <w:p>
            <w:pPr>
              <w:pStyle w:val="Compact"/>
            </w:pPr>
            <w:r>
              <w:rPr>
                <w:rStyle w:val="VerbatimChar"/>
              </w:rPr>
              <w:t xml:space="preserve">real_systems/</w:t>
            </w:r>
          </w:p>
        </w:tc>
      </w:tr>
      <w:tr>
        <w:tc>
          <w:tcPr/>
          <w:p>
            <w:pPr>
              <w:pStyle w:val="Compact"/>
            </w:pPr>
            <w:r>
              <w:t xml:space="preserve">Scoring functions</w:t>
            </w:r>
          </w:p>
        </w:tc>
        <w:tc>
          <w:tcPr/>
          <w:p>
            <w:pPr>
              <w:pStyle w:val="Compact"/>
            </w:pPr>
            <w:r>
              <w:t xml:space="preserve">4JC / 3HS4 / 6OIM</w:t>
            </w:r>
          </w:p>
        </w:tc>
        <w:tc>
          <w:tcPr/>
          <w:p>
            <w:pPr>
              <w:pStyle w:val="Compact"/>
            </w:pPr>
            <w:r>
              <w:t xml:space="preserve">best affinity, d(metal) per function</w:t>
            </w:r>
          </w:p>
        </w:tc>
        <w:tc>
          <w:tcPr/>
          <w:p>
            <w:pPr>
              <w:pStyle w:val="Compact"/>
            </w:pPr>
            <w:r>
              <w:t xml:space="preserve">Table 9</w:t>
            </w:r>
          </w:p>
        </w:tc>
        <w:tc>
          <w:tcPr/>
          <w:p>
            <w:pPr>
              <w:pStyle w:val="Compact"/>
            </w:pPr>
            <w:r>
              <w:rPr>
                <w:rStyle w:val="VerbatimChar"/>
              </w:rPr>
              <w:t xml:space="preserve">run_scoring_comparison.py</w:t>
            </w:r>
          </w:p>
        </w:tc>
      </w:tr>
      <w:tr>
        <w:tc>
          <w:tcPr/>
          <w:p>
            <w:pPr>
              <w:pStyle w:val="Compact"/>
            </w:pPr>
            <w:r>
              <w:t xml:space="preserve">Exhaustiveness sweep</w:t>
            </w:r>
          </w:p>
        </w:tc>
        <w:tc>
          <w:tcPr/>
          <w:p>
            <w:pPr>
              <w:pStyle w:val="Compact"/>
            </w:pPr>
            <w:r>
              <w:t xml:space="preserve">3HS4 zn, exh 1–32 × 3 seeds</w:t>
            </w:r>
          </w:p>
        </w:tc>
        <w:tc>
          <w:tcPr/>
          <w:p>
            <w:pPr>
              <w:pStyle w:val="Compact"/>
            </w:pPr>
            <w:r>
              <w:t xml:space="preserve">σ(best) at exh 8</w:t>
            </w:r>
          </w:p>
        </w:tc>
        <w:tc>
          <w:tcPr/>
          <w:p>
            <w:pPr>
              <w:pStyle w:val="Compact"/>
            </w:pPr>
            <w:r>
              <w:t xml:space="preserve">0.003 kcal/mol</w:t>
            </w:r>
          </w:p>
        </w:tc>
        <w:tc>
          <w:tcPr/>
          <w:p>
            <w:pPr>
              <w:pStyle w:val="Compact"/>
            </w:pPr>
            <w:r>
              <w:rPr>
                <w:rStyle w:val="VerbatimChar"/>
              </w:rPr>
              <w:t xml:space="preserve">run_parameter_sweeps.py</w:t>
            </w:r>
          </w:p>
        </w:tc>
      </w:tr>
      <w:tr>
        <w:tc>
          <w:tcPr/>
          <w:p>
            <w:pPr>
              <w:pStyle w:val="Compact"/>
            </w:pPr>
            <w:r>
              <w:t xml:space="preserve">Seed variance</w:t>
            </w:r>
          </w:p>
        </w:tc>
        <w:tc>
          <w:tcPr/>
          <w:p>
            <w:pPr>
              <w:pStyle w:val="Compact"/>
            </w:pPr>
            <w:r>
              <w:t xml:space="preserve">3HS4 zn / 6OIM vina, 5 seeds</w:t>
            </w:r>
          </w:p>
        </w:tc>
        <w:tc>
          <w:tcPr/>
          <w:p>
            <w:pPr>
              <w:pStyle w:val="Compact"/>
            </w:pPr>
            <w:r>
              <w:t xml:space="preserve">best-affinity range</w:t>
            </w:r>
          </w:p>
        </w:tc>
        <w:tc>
          <w:tcPr/>
          <w:p>
            <w:pPr>
              <w:pStyle w:val="Compact"/>
            </w:pPr>
            <w:r>
              <w:t xml:space="preserve">0.010 / 0.053 kcal/mol</w:t>
            </w:r>
          </w:p>
        </w:tc>
        <w:tc>
          <w:tcPr/>
          <w:p>
            <w:pPr>
              <w:pStyle w:val="Compact"/>
            </w:pPr>
            <w:r>
              <w:rPr>
                <w:rStyle w:val="VerbatimChar"/>
              </w:rPr>
              <w:t xml:space="preserve">run_parameter_sweeps.py</w:t>
            </w:r>
          </w:p>
        </w:tc>
      </w:tr>
      <w:tr>
        <w:tc>
          <w:tcPr/>
          <w:p>
            <w:pPr>
              <w:pStyle w:val="Compact"/>
            </w:pPr>
            <w:r>
              <w:t xml:space="preserve">soft_weight sweep</w:t>
            </w:r>
          </w:p>
        </w:tc>
        <w:tc>
          <w:tcPr/>
          <w:p>
            <w:pPr>
              <w:pStyle w:val="Compact"/>
            </w:pPr>
            <w:r>
              <w:t xml:space="preserve">3HS4, w = 0–0.5</w:t>
            </w:r>
          </w:p>
        </w:tc>
        <w:tc>
          <w:tcPr/>
          <w:p>
            <w:pPr>
              <w:pStyle w:val="Compact"/>
            </w:pPr>
            <w:r>
              <w:t xml:space="preserve">Zn distance drift</w:t>
            </w:r>
          </w:p>
        </w:tc>
        <w:tc>
          <w:tcPr/>
          <w:p>
            <w:pPr>
              <w:pStyle w:val="Compact"/>
            </w:pPr>
            <w:r>
              <w:t xml:space="preserve">≤ 0.01 Å</w:t>
            </w:r>
          </w:p>
        </w:tc>
        <w:tc>
          <w:tcPr/>
          <w:p>
            <w:pPr>
              <w:pStyle w:val="Compact"/>
            </w:pPr>
            <w:r>
              <w:rPr>
                <w:rStyle w:val="VerbatimChar"/>
              </w:rPr>
              <w:t xml:space="preserve">run_parameter_sweeps.py</w:t>
            </w:r>
          </w:p>
        </w:tc>
      </w:tr>
      <w:tr>
        <w:tc>
          <w:tcPr/>
          <w:p>
            <w:pPr>
              <w:pStyle w:val="Compact"/>
            </w:pPr>
            <w:r>
              <w:t xml:space="preserve">metal_bias sweep</w:t>
            </w:r>
          </w:p>
        </w:tc>
        <w:tc>
          <w:tcPr/>
          <w:p>
            <w:pPr>
              <w:pStyle w:val="Compact"/>
            </w:pPr>
            <w:r>
              <w:t xml:space="preserve">3HS4, 0–8 kcal/mol</w:t>
            </w:r>
          </w:p>
        </w:tc>
        <w:tc>
          <w:tcPr/>
          <w:p>
            <w:pPr>
              <w:pStyle w:val="Compact"/>
            </w:pPr>
            <w:r>
              <w:t xml:space="preserve">monotonic deepening, geometry kept</w:t>
            </w:r>
          </w:p>
        </w:tc>
        <w:tc>
          <w:tcPr/>
          <w:p>
            <w:pPr>
              <w:pStyle w:val="Compact"/>
            </w:pPr>
            <w:r>
              <w:t xml:space="preserve">−13.32 → −14.85</w:t>
            </w:r>
          </w:p>
        </w:tc>
        <w:tc>
          <w:tcPr/>
          <w:p>
            <w:pPr>
              <w:pStyle w:val="Compact"/>
            </w:pPr>
            <w:r>
              <w:rPr>
                <w:rStyle w:val="VerbatimChar"/>
              </w:rPr>
              <w:t xml:space="preserve">run_parameter_sweeps.py</w:t>
            </w:r>
          </w:p>
        </w:tc>
      </w:tr>
      <w:tr>
        <w:tc>
          <w:tcPr/>
          <w:p>
            <w:pPr>
              <w:pStyle w:val="Compact"/>
            </w:pPr>
            <w:r>
              <w:t xml:space="preserve">Reactive strength</w:t>
            </w:r>
          </w:p>
        </w:tc>
        <w:tc>
          <w:tcPr/>
          <w:p>
            <w:pPr>
              <w:pStyle w:val="Compact"/>
            </w:pPr>
            <w:r>
              <w:t xml:space="preserve">cys_michael, strength 2–16</w:t>
            </w:r>
          </w:p>
        </w:tc>
        <w:tc>
          <w:tcPr/>
          <w:p>
            <w:pPr>
              <w:pStyle w:val="Compact"/>
            </w:pPr>
            <w:r>
              <w:t xml:space="preserve">linear score response</w:t>
            </w:r>
          </w:p>
        </w:tc>
        <w:tc>
          <w:tcPr/>
          <w:p>
            <w:pPr>
              <w:pStyle w:val="Compact"/>
            </w:pPr>
            <w:r>
              <w:t xml:space="preserve">−0.63 → −8.68 kcal/mol</w:t>
            </w:r>
          </w:p>
        </w:tc>
        <w:tc>
          <w:tcPr/>
          <w:p>
            <w:pPr>
              <w:pStyle w:val="Compact"/>
            </w:pPr>
            <w:r>
              <w:rPr>
                <w:rStyle w:val="VerbatimChar"/>
              </w:rPr>
              <w:t xml:space="preserve">run_parameter_sweeps.py</w:t>
            </w:r>
          </w:p>
        </w:tc>
      </w:tr>
      <w:tr>
        <w:tc>
          <w:tcPr/>
          <w:p>
            <w:pPr>
              <w:pStyle w:val="Compact"/>
            </w:pPr>
            <w:r>
              <w:t xml:space="preserve">Hotspot 3HS4</w:t>
            </w:r>
          </w:p>
        </w:tc>
        <w:tc>
          <w:tcPr/>
          <w:p>
            <w:pPr>
              <w:pStyle w:val="Compact"/>
            </w:pPr>
            <w:r>
              <w:t xml:space="preserve">CA II/AZM</w:t>
            </w:r>
          </w:p>
        </w:tc>
        <w:tc>
          <w:tcPr/>
          <w:p>
            <w:pPr>
              <w:pStyle w:val="Compact"/>
            </w:pPr>
            <w:r>
              <w:t xml:space="preserve">zn-mode Zn–N (crystal 1.94 Å)</w:t>
            </w:r>
          </w:p>
        </w:tc>
        <w:tc>
          <w:tcPr/>
          <w:p>
            <w:pPr>
              <w:pStyle w:val="Compact"/>
            </w:pPr>
            <w:r>
              <w:t xml:space="preserve">2.08 Å, −13.32 kcal/mol</w:t>
            </w:r>
          </w:p>
        </w:tc>
        <w:tc>
          <w:tcPr/>
          <w:p>
            <w:pPr>
              <w:pStyle w:val="Compact"/>
            </w:pPr>
            <w:r>
              <w:rPr>
                <w:rStyle w:val="VerbatimChar"/>
              </w:rPr>
              <w:t xml:space="preserve">run_hotspot_cases.py</w:t>
            </w:r>
          </w:p>
        </w:tc>
      </w:tr>
      <w:tr>
        <w:tc>
          <w:tcPr/>
          <w:p>
            <w:pPr>
              <w:pStyle w:val="Compact"/>
            </w:pPr>
            <w:r>
              <w:t xml:space="preserve">Hotspot 6OIM</w:t>
            </w:r>
          </w:p>
        </w:tc>
        <w:tc>
          <w:tcPr/>
          <w:p>
            <w:pPr>
              <w:pStyle w:val="Compact"/>
            </w:pPr>
            <w:r>
              <w:t xml:space="preserve">KRAS G12C covalent</w:t>
            </w:r>
          </w:p>
        </w:tc>
        <w:tc>
          <w:tcPr/>
          <w:p>
            <w:pPr>
              <w:pStyle w:val="Compact"/>
            </w:pPr>
            <w:r>
              <w:t xml:space="preserve">warhead C17–SG12 distance (negative control, Section 3.7)</w:t>
            </w:r>
          </w:p>
        </w:tc>
        <w:tc>
          <w:tcPr/>
          <w:p>
            <w:pPr>
              <w:pStyle w:val="Compact"/>
            </w:pPr>
            <w:r>
              <w:t xml:space="preserve">~7.2 Å</w:t>
            </w:r>
          </w:p>
        </w:tc>
        <w:tc>
          <w:tcPr/>
          <w:p>
            <w:pPr>
              <w:pStyle w:val="Compact"/>
            </w:pPr>
            <w:r>
              <w:rPr>
                <w:rStyle w:val="VerbatimChar"/>
              </w:rPr>
              <w:t xml:space="preserve">run_hotspot_cases.py</w:t>
            </w:r>
          </w:p>
        </w:tc>
      </w:tr>
    </w:tbl>
    <w:bookmarkEnd w:id="104"/>
    <w:bookmarkStart w:id="105" w:name="references"/>
    <w:p>
      <w:pPr>
        <w:pStyle w:val="Heading2"/>
      </w:pPr>
      <w:r>
        <w:t xml:space="preserve">References</w:t>
      </w:r>
    </w:p>
    <w:p>
      <w:pPr>
        <w:pStyle w:val="Compact"/>
        <w:numPr>
          <w:ilvl w:val="0"/>
          <w:numId w:val="1027"/>
        </w:numPr>
      </w:pPr>
      <w:r>
        <w:t xml:space="preserve">Trott O, Olson AJ. AutoDock Vina: improving the speed and accuracy of docking with a new scoring function, efficient optimization, and multithreading.</w:t>
      </w:r>
      <w:r>
        <w:t xml:space="preserve"> </w:t>
      </w:r>
      <w:r>
        <w:rPr>
          <w:i/>
          <w:iCs/>
        </w:rPr>
        <w:t xml:space="preserve">J Comput Chem.</w:t>
      </w:r>
      <w:r>
        <w:t xml:space="preserve"> </w:t>
      </w:r>
      <w:r>
        <w:t xml:space="preserve">2010;31(2):455–461 doi:10.1002/jcc.21334.</w:t>
      </w:r>
    </w:p>
    <w:p>
      <w:pPr>
        <w:pStyle w:val="Compact"/>
        <w:numPr>
          <w:ilvl w:val="0"/>
          <w:numId w:val="1027"/>
        </w:numPr>
      </w:pPr>
      <w:r>
        <w:t xml:space="preserve">Eberhardt J, Santos-Martins D, Tillack AF, Forli S. AutoDock Vina 1.2.0: new docking methods, expanded force field, and Python bindings.</w:t>
      </w:r>
      <w:r>
        <w:t xml:space="preserve"> </w:t>
      </w:r>
      <w:r>
        <w:rPr>
          <w:i/>
          <w:iCs/>
        </w:rPr>
        <w:t xml:space="preserve">J Chem Inf Model.</w:t>
      </w:r>
      <w:r>
        <w:t xml:space="preserve"> </w:t>
      </w:r>
      <w:r>
        <w:t xml:space="preserve">2021;61(8):3891–3898 doi:10.1021/acs.jcim.1c00203.</w:t>
      </w:r>
    </w:p>
    <w:p>
      <w:pPr>
        <w:pStyle w:val="Compact"/>
        <w:numPr>
          <w:ilvl w:val="0"/>
          <w:numId w:val="1027"/>
        </w:numPr>
      </w:pPr>
      <w:r>
        <w:t xml:space="preserve">Morris GM, Huey R, Lindstrom W, et al. AutoDock4 and AutoDockTools4: automated docking with selective receptor flexibility.</w:t>
      </w:r>
      <w:r>
        <w:t xml:space="preserve"> </w:t>
      </w:r>
      <w:r>
        <w:rPr>
          <w:i/>
          <w:iCs/>
        </w:rPr>
        <w:t xml:space="preserve">J Comput Chem.</w:t>
      </w:r>
      <w:r>
        <w:t xml:space="preserve"> </w:t>
      </w:r>
      <w:r>
        <w:t xml:space="preserve">2009;30(16):2785–2791 doi:10.1002/jcc.21256.</w:t>
      </w:r>
    </w:p>
    <w:p>
      <w:pPr>
        <w:pStyle w:val="Compact"/>
        <w:numPr>
          <w:ilvl w:val="0"/>
          <w:numId w:val="1027"/>
        </w:numPr>
      </w:pPr>
      <w:r>
        <w:t xml:space="preserve">Andreini C, Bertini I, Cavallaro G, Holliday GL, Thornton JM. Metal ions in biological catalysis: from enzyme databases to general principles.</w:t>
      </w:r>
      <w:r>
        <w:t xml:space="preserve"> </w:t>
      </w:r>
      <w:r>
        <w:rPr>
          <w:i/>
          <w:iCs/>
        </w:rPr>
        <w:t xml:space="preserve">J Biol Inorg Chem.</w:t>
      </w:r>
      <w:r>
        <w:t xml:space="preserve"> </w:t>
      </w:r>
      <w:r>
        <w:t xml:space="preserve">2008;13(8):1205–1218 doi:10.1007/s00775-008-0404-5.</w:t>
      </w:r>
    </w:p>
    <w:p>
      <w:pPr>
        <w:pStyle w:val="Compact"/>
        <w:numPr>
          <w:ilvl w:val="0"/>
          <w:numId w:val="1027"/>
        </w:numPr>
      </w:pPr>
      <w:r>
        <w:t xml:space="preserve">Valdez CE, Smith QA, Nechay MR, Alexandrova AN. Mysteries of metals in metalloenzymes.</w:t>
      </w:r>
      <w:r>
        <w:t xml:space="preserve"> </w:t>
      </w:r>
      <w:r>
        <w:rPr>
          <w:i/>
          <w:iCs/>
        </w:rPr>
        <w:t xml:space="preserve">Acc Chem Res.</w:t>
      </w:r>
      <w:r>
        <w:t xml:space="preserve"> </w:t>
      </w:r>
      <w:r>
        <w:t xml:space="preserve">2014;47(10):3110–3117 doi:10.1021/ar500227u.</w:t>
      </w:r>
    </w:p>
    <w:p>
      <w:pPr>
        <w:pStyle w:val="Compact"/>
        <w:numPr>
          <w:ilvl w:val="0"/>
          <w:numId w:val="1027"/>
        </w:numPr>
      </w:pPr>
      <w:r>
        <w:t xml:space="preserve">Santos-Martins D, Forli S, Ramos MJ, Olson AJ. AutoDock4Zn: an improved AutoDock force field for small-molecule docking to zinc metalloproteins.</w:t>
      </w:r>
      <w:r>
        <w:t xml:space="preserve"> </w:t>
      </w:r>
      <w:r>
        <w:rPr>
          <w:i/>
          <w:iCs/>
        </w:rPr>
        <w:t xml:space="preserve">J Chem Inf Model.</w:t>
      </w:r>
      <w:r>
        <w:t xml:space="preserve"> </w:t>
      </w:r>
      <w:r>
        <w:t xml:space="preserve">2014;54(8):2371–2379 doi:10.1021/ci500209e.</w:t>
      </w:r>
    </w:p>
    <w:p>
      <w:pPr>
        <w:pStyle w:val="Compact"/>
        <w:numPr>
          <w:ilvl w:val="0"/>
          <w:numId w:val="1027"/>
        </w:numPr>
      </w:pPr>
      <w:r>
        <w:t xml:space="preserve">Hakkennes MLA, Buda F, Bonnet S. MetalDock: an open access docking tool for easy and reproducible docking of metal complexes.</w:t>
      </w:r>
      <w:r>
        <w:t xml:space="preserve"> </w:t>
      </w:r>
      <w:r>
        <w:rPr>
          <w:i/>
          <w:iCs/>
        </w:rPr>
        <w:t xml:space="preserve">J Chem Inf Model.</w:t>
      </w:r>
      <w:r>
        <w:t xml:space="preserve"> </w:t>
      </w:r>
      <w:r>
        <w:t xml:space="preserve">2023;63(24):7816–7825. doi:10.1021/acs.jcim.3c01582</w:t>
      </w:r>
    </w:p>
    <w:p>
      <w:pPr>
        <w:pStyle w:val="Compact"/>
        <w:numPr>
          <w:ilvl w:val="0"/>
          <w:numId w:val="1027"/>
        </w:numPr>
      </w:pPr>
      <w:r>
        <w:t xml:space="preserve">Wang K. GPDOCK: highly accurate docking strategy for metalloproteins based on geometric probability.</w:t>
      </w:r>
      <w:r>
        <w:t xml:space="preserve"> </w:t>
      </w:r>
      <w:r>
        <w:rPr>
          <w:i/>
          <w:iCs/>
        </w:rPr>
        <w:t xml:space="preserve">Brief Bioinform.</w:t>
      </w:r>
      <w:r>
        <w:t xml:space="preserve"> </w:t>
      </w:r>
      <w:r>
        <w:t xml:space="preserve">2023;24(1):bbac620. doi:10.1093/bib/bbac620</w:t>
      </w:r>
    </w:p>
    <w:p>
      <w:pPr>
        <w:pStyle w:val="Compact"/>
        <w:numPr>
          <w:ilvl w:val="0"/>
          <w:numId w:val="1027"/>
        </w:numPr>
      </w:pPr>
      <w:r>
        <w:t xml:space="preserve">Scarpino A, Ferenczy GG, Keserű GM. Covalent docking in drug discovery: scope and limitations.</w:t>
      </w:r>
      <w:r>
        <w:t xml:space="preserve"> </w:t>
      </w:r>
      <w:r>
        <w:rPr>
          <w:i/>
          <w:iCs/>
        </w:rPr>
        <w:t xml:space="preserve">Curr Pharm Des.</w:t>
      </w:r>
      <w:r>
        <w:t xml:space="preserve"> </w:t>
      </w:r>
      <w:r>
        <w:t xml:space="preserve">2020;26(44):5684–5699. doi:10.2174/1381612824999201105164942</w:t>
      </w:r>
    </w:p>
    <w:p>
      <w:pPr>
        <w:pStyle w:val="Compact"/>
        <w:numPr>
          <w:ilvl w:val="0"/>
          <w:numId w:val="1027"/>
        </w:numPr>
      </w:pPr>
      <w:r>
        <w:t xml:space="preserve">Lightstone FC, Bruice TC. Ground state conformations and entropic and enthalpic factors in the efficiency of intramolecular and enzymatic reactions.</w:t>
      </w:r>
      <w:r>
        <w:t xml:space="preserve"> </w:t>
      </w:r>
      <w:r>
        <w:rPr>
          <w:i/>
          <w:iCs/>
        </w:rPr>
        <w:t xml:space="preserve">J Am Chem Soc.</w:t>
      </w:r>
      <w:r>
        <w:t xml:space="preserve"> </w:t>
      </w:r>
      <w:r>
        <w:t xml:space="preserve">1996;118(11):2595–2605 doi:10.1021/ja952589l.</w:t>
      </w:r>
    </w:p>
    <w:p>
      <w:pPr>
        <w:pStyle w:val="Compact"/>
        <w:numPr>
          <w:ilvl w:val="0"/>
          <w:numId w:val="1027"/>
        </w:numPr>
      </w:pPr>
      <w:r>
        <w:t xml:space="preserve">Bruice TC. A view at the millennium: the efficiency of enzymatic catalysis.</w:t>
      </w:r>
      <w:r>
        <w:t xml:space="preserve"> </w:t>
      </w:r>
      <w:r>
        <w:rPr>
          <w:i/>
          <w:iCs/>
        </w:rPr>
        <w:t xml:space="preserve">Acc Chem Res.</w:t>
      </w:r>
      <w:r>
        <w:t xml:space="preserve"> </w:t>
      </w:r>
      <w:r>
        <w:t xml:space="preserve">2002;35(3):139–148 doi:10.1021/ar0001646.</w:t>
      </w:r>
    </w:p>
    <w:p>
      <w:pPr>
        <w:pStyle w:val="Compact"/>
        <w:numPr>
          <w:ilvl w:val="0"/>
          <w:numId w:val="1027"/>
        </w:numPr>
      </w:pPr>
      <w:r>
        <w:t xml:space="preserve">Bianco G, Forli S, Goodsell DS, Olson AJ. Covalent docking using AutoDock: two-point attractor and flexible side chain methods.</w:t>
      </w:r>
      <w:r>
        <w:t xml:space="preserve"> </w:t>
      </w:r>
      <w:r>
        <w:rPr>
          <w:i/>
          <w:iCs/>
        </w:rPr>
        <w:t xml:space="preserve">Protein Sci.</w:t>
      </w:r>
      <w:r>
        <w:t xml:space="preserve"> </w:t>
      </w:r>
      <w:r>
        <w:t xml:space="preserve">2016;25(1):295–301 doi:10.1002/pro.2733.</w:t>
      </w:r>
    </w:p>
    <w:p>
      <w:pPr>
        <w:pStyle w:val="Compact"/>
        <w:numPr>
          <w:ilvl w:val="0"/>
          <w:numId w:val="1027"/>
        </w:numPr>
      </w:pPr>
      <w:r>
        <w:t xml:space="preserve">Harding MM. Small revisions to predicted distances around metal sites in proteins.</w:t>
      </w:r>
      <w:r>
        <w:t xml:space="preserve"> </w:t>
      </w:r>
      <w:r>
        <w:rPr>
          <w:i/>
          <w:iCs/>
        </w:rPr>
        <w:t xml:space="preserve">Acta Crystallogr D.</w:t>
      </w:r>
      <w:r>
        <w:t xml:space="preserve"> </w:t>
      </w:r>
      <w:r>
        <w:t xml:space="preserve">2006;62(6):678–682 doi:10.1107/S0907444906014594.</w:t>
      </w:r>
    </w:p>
    <w:p>
      <w:pPr>
        <w:pStyle w:val="Compact"/>
        <w:numPr>
          <w:ilvl w:val="0"/>
          <w:numId w:val="1027"/>
        </w:numPr>
      </w:pPr>
      <w:r>
        <w:t xml:space="preserve">Brown ID, Altermatt D. Bond-valence parameters obtained from a systematic analysis of the inorganic crystal structure database.</w:t>
      </w:r>
      <w:r>
        <w:t xml:space="preserve"> </w:t>
      </w:r>
      <w:r>
        <w:rPr>
          <w:i/>
          <w:iCs/>
        </w:rPr>
        <w:t xml:space="preserve">Acta Crystallogr B.</w:t>
      </w:r>
      <w:r>
        <w:t xml:space="preserve"> </w:t>
      </w:r>
      <w:r>
        <w:t xml:space="preserve">1985;41(4):244–247 doi:10.1107/S0108768185002063.</w:t>
      </w:r>
    </w:p>
    <w:p>
      <w:pPr>
        <w:pStyle w:val="Compact"/>
        <w:numPr>
          <w:ilvl w:val="0"/>
          <w:numId w:val="1027"/>
        </w:numPr>
      </w:pPr>
      <w:r>
        <w:t xml:space="preserve">Brese NE, O’Keeffe M. Bond-valence parameters for solids.</w:t>
      </w:r>
      <w:r>
        <w:t xml:space="preserve"> </w:t>
      </w:r>
      <w:r>
        <w:rPr>
          <w:i/>
          <w:iCs/>
        </w:rPr>
        <w:t xml:space="preserve">Acta Crystallogr B.</w:t>
      </w:r>
      <w:r>
        <w:t xml:space="preserve"> </w:t>
      </w:r>
      <w:r>
        <w:t xml:space="preserve">1991;47(2):192–197 doi:10.1107/S0108768190011041.</w:t>
      </w:r>
    </w:p>
    <w:p>
      <w:pPr>
        <w:pStyle w:val="Compact"/>
        <w:numPr>
          <w:ilvl w:val="0"/>
          <w:numId w:val="1027"/>
        </w:numPr>
      </w:pPr>
      <w:r>
        <w:t xml:space="preserve">Berman HM, Westbrook J, Feng Z, et al. The Protein Data Bank.</w:t>
      </w:r>
      <w:r>
        <w:t xml:space="preserve"> </w:t>
      </w:r>
      <w:r>
        <w:rPr>
          <w:i/>
          <w:iCs/>
        </w:rPr>
        <w:t xml:space="preserve">Nucleic Acids Res.</w:t>
      </w:r>
      <w:r>
        <w:t xml:space="preserve"> </w:t>
      </w:r>
      <w:r>
        <w:t xml:space="preserve">2000;28(1):235–242 doi:10.1093/nar/28.1.235.</w:t>
      </w:r>
    </w:p>
    <w:p>
      <w:pPr>
        <w:pStyle w:val="Compact"/>
        <w:numPr>
          <w:ilvl w:val="0"/>
          <w:numId w:val="1027"/>
        </w:numPr>
      </w:pPr>
      <w:r>
        <w:t xml:space="preserve">Santos-Martins D, He Y, Eberhardt J, et al. Meeko: Molecule Parametrization and Software Interoperability for Docking and Beyond.</w:t>
      </w:r>
      <w:r>
        <w:t xml:space="preserve"> </w:t>
      </w:r>
      <w:r>
        <w:rPr>
          <w:i/>
          <w:iCs/>
        </w:rPr>
        <w:t xml:space="preserve">J Chem Inf Model.</w:t>
      </w:r>
      <w:r>
        <w:t xml:space="preserve"> </w:t>
      </w:r>
      <w:r>
        <w:t xml:space="preserve">2025;65(24):13045–13050. doi:10.1021/acs.jcim.5c02271</w:t>
      </w:r>
    </w:p>
    <w:p>
      <w:pPr>
        <w:pStyle w:val="Compact"/>
        <w:numPr>
          <w:ilvl w:val="0"/>
          <w:numId w:val="1027"/>
        </w:numPr>
      </w:pPr>
      <w:r>
        <w:t xml:space="preserve">O’Boyle NM, Banck M, James CA, et al. Open Babel: an open chemical toolbox.</w:t>
      </w:r>
      <w:r>
        <w:t xml:space="preserve"> </w:t>
      </w:r>
      <w:r>
        <w:rPr>
          <w:i/>
          <w:iCs/>
        </w:rPr>
        <w:t xml:space="preserve">J Cheminform.</w:t>
      </w:r>
      <w:r>
        <w:t xml:space="preserve"> </w:t>
      </w:r>
      <w:r>
        <w:t xml:space="preserve">2011;3:33 doi:10.1186/1758-2946-3-33.</w:t>
      </w:r>
    </w:p>
    <w:p>
      <w:pPr>
        <w:pStyle w:val="Compact"/>
        <w:numPr>
          <w:ilvl w:val="0"/>
          <w:numId w:val="1027"/>
        </w:numPr>
      </w:pPr>
      <w:r>
        <w:t xml:space="preserve">Wu G, Robertson DH, Brooks CL, Vieth M. Detailed analysis of grid-based molecular docking: a case study of CDOCKER—a CHARMm-based MD docking algorithm.</w:t>
      </w:r>
      <w:r>
        <w:t xml:space="preserve"> </w:t>
      </w:r>
      <w:r>
        <w:rPr>
          <w:i/>
          <w:iCs/>
        </w:rPr>
        <w:t xml:space="preserve">J Comput Chem.</w:t>
      </w:r>
      <w:r>
        <w:t xml:space="preserve"> </w:t>
      </w:r>
      <w:r>
        <w:t xml:space="preserve">2003;24(13):1549–1562. doi:10.1002/jcc.10306</w:t>
      </w:r>
    </w:p>
    <w:p>
      <w:pPr>
        <w:pStyle w:val="Compact"/>
        <w:numPr>
          <w:ilvl w:val="0"/>
          <w:numId w:val="1027"/>
        </w:numPr>
      </w:pPr>
      <w:r>
        <w:t xml:space="preserve">Jones G, Willett P, Glen RC, Leach AR, Taylor R. Development and validation of a genetic algorithm for flexible docking.</w:t>
      </w:r>
      <w:r>
        <w:t xml:space="preserve"> </w:t>
      </w:r>
      <w:r>
        <w:rPr>
          <w:i/>
          <w:iCs/>
        </w:rPr>
        <w:t xml:space="preserve">J Mol Biol.</w:t>
      </w:r>
      <w:r>
        <w:t xml:space="preserve"> </w:t>
      </w:r>
      <w:r>
        <w:t xml:space="preserve">1997;267(3):727–748. doi:10.1006/jmbi.1996.0897</w:t>
      </w:r>
    </w:p>
    <w:p>
      <w:pPr>
        <w:pStyle w:val="Compact"/>
        <w:numPr>
          <w:ilvl w:val="0"/>
          <w:numId w:val="1027"/>
        </w:numPr>
      </w:pPr>
      <w:r>
        <w:t xml:space="preserve">LK-Studio1128. LKina: A Metal-Aware and Covalent-Reactive Molecular Docking Engine Extending AutoDock Vina. Version v1.0.2. Zenodo, 2026. https://doi.org/10.5281/zenodo.22156943</w:t>
      </w:r>
    </w:p>
    <w:p>
      <w:r>
        <w:pict>
          <v:rect style="width:0;height:1.5pt" o:hralign="center" o:hrstd="t" o:hr="t"/>
        </w:pict>
      </w:r>
    </w:p>
    <w:bookmarkEnd w:id="105"/>
    <w:bookmarkStart w:id="106" w:name="supplementary"/>
    <w:p>
      <w:pPr>
        <w:pStyle w:val="Heading2"/>
      </w:pPr>
      <w:r>
        <w:t xml:space="preserve">Supplementary</w:t>
      </w:r>
    </w:p>
    <w:p>
      <w:pPr>
        <w:pStyle w:val="Compact"/>
        <w:numPr>
          <w:ilvl w:val="0"/>
          <w:numId w:val="1028"/>
        </w:numPr>
      </w:pPr>
      <w:r>
        <w:rPr>
          <w:rStyle w:val="VerbatimChar"/>
        </w:rPr>
        <w:t xml:space="preserve">benchmarks/pdbqt_util.py</w:t>
      </w:r>
      <w:r>
        <w:t xml:space="preserve"> </w:t>
      </w:r>
      <w:r>
        <w:t xml:space="preserve">+</w:t>
      </w:r>
      <w:r>
        <w:t xml:space="preserve"> </w:t>
      </w:r>
      <w:r>
        <w:rPr>
          <w:rStyle w:val="VerbatimChar"/>
        </w:rPr>
        <w:t xml:space="preserve">run_all_metal_modes.py</w:t>
      </w:r>
      <w:r>
        <w:t xml:space="preserve"> </w:t>
      </w:r>
      <w:r>
        <w:t xml:space="preserve">+</w:t>
      </w:r>
      <w:r>
        <w:t xml:space="preserve"> </w:t>
      </w:r>
      <w:r>
        <w:rPr>
          <w:rStyle w:val="VerbatimChar"/>
        </w:rPr>
        <w:t xml:space="preserve">metal_coverage_results_all.json</w:t>
      </w:r>
      <w:r>
        <w:t xml:space="preserve">, 110-mode synthetic metal benchmark (Table 5, Fig. 1–2).</w:t>
      </w:r>
    </w:p>
    <w:p>
      <w:pPr>
        <w:pStyle w:val="Compact"/>
        <w:numPr>
          <w:ilvl w:val="0"/>
          <w:numId w:val="1028"/>
        </w:numPr>
      </w:pPr>
      <w:r>
        <w:rPr>
          <w:rStyle w:val="VerbatimChar"/>
        </w:rPr>
        <w:t xml:space="preserve">benchmarks/run_feature_family_tests.py</w:t>
      </w:r>
      <w:r>
        <w:t xml:space="preserve"> </w:t>
      </w:r>
      <w:r>
        <w:t xml:space="preserve">+</w:t>
      </w:r>
      <w:r>
        <w:t xml:space="preserve"> </w:t>
      </w:r>
      <w:r>
        <w:rPr>
          <w:rStyle w:val="VerbatimChar"/>
        </w:rPr>
        <w:t xml:space="preserve">feature_family_results.json</w:t>
      </w:r>
      <w:r>
        <w:t xml:space="preserve">, pseudoatom geometry check, BVS inference (14/14), water bridge, metal-as-ligand QC.</w:t>
      </w:r>
    </w:p>
    <w:p>
      <w:pPr>
        <w:pStyle w:val="Compact"/>
        <w:numPr>
          <w:ilvl w:val="0"/>
          <w:numId w:val="1028"/>
        </w:numPr>
      </w:pPr>
      <w:r>
        <w:rPr>
          <w:rStyle w:val="VerbatimChar"/>
        </w:rPr>
        <w:t xml:space="preserve">benchmarks/run_covalent_full.py</w:t>
      </w:r>
      <w:r>
        <w:t xml:space="preserve"> </w:t>
      </w:r>
      <w:r>
        <w:t xml:space="preserve">+</w:t>
      </w:r>
      <w:r>
        <w:t xml:space="preserve"> </w:t>
      </w:r>
      <w:r>
        <w:rPr>
          <w:rStyle w:val="VerbatimChar"/>
        </w:rPr>
        <w:t xml:space="preserve">covalent_full_results.json</w:t>
      </w:r>
      <w:r>
        <w:t xml:space="preserve">, four-tier covalent framework (P1/P1+P2/P4/C3), energy well scan, 108-map</w:t>
      </w:r>
      <w:r>
        <w:t xml:space="preserve"> </w:t>
      </w:r>
      <w:r>
        <w:rPr>
          <w:rStyle w:val="VerbatimChar"/>
        </w:rPr>
        <w:t xml:space="preserve">--generate_maps</w:t>
      </w:r>
      <w:r>
        <w:t xml:space="preserve"> </w:t>
      </w:r>
      <w:r>
        <w:t xml:space="preserve">audit.</w:t>
      </w:r>
    </w:p>
    <w:p>
      <w:pPr>
        <w:pStyle w:val="Compact"/>
        <w:numPr>
          <w:ilvl w:val="0"/>
          <w:numId w:val="1028"/>
        </w:numPr>
      </w:pPr>
      <w:r>
        <w:rPr>
          <w:rStyle w:val="VerbatimChar"/>
        </w:rPr>
        <w:t xml:space="preserve">benchmarks/run_reactive_tests.py</w:t>
      </w:r>
      <w:r>
        <w:t xml:space="preserve"> </w:t>
      </w:r>
      <w:r>
        <w:t xml:space="preserve">+</w:t>
      </w:r>
      <w:r>
        <w:t xml:space="preserve"> </w:t>
      </w:r>
      <w:r>
        <w:rPr>
          <w:rStyle w:val="VerbatimChar"/>
        </w:rPr>
        <w:t xml:space="preserve">reactive_presets_results.json</w:t>
      </w:r>
      <w:r>
        <w:t xml:space="preserve">, 6-preset reactive benchmark (Section 3.4, Fig. S2).</w:t>
      </w:r>
    </w:p>
    <w:p>
      <w:pPr>
        <w:pStyle w:val="Compact"/>
        <w:numPr>
          <w:ilvl w:val="0"/>
          <w:numId w:val="1028"/>
        </w:numPr>
      </w:pPr>
      <w:r>
        <w:rPr>
          <w:rStyle w:val="VerbatimChar"/>
        </w:rPr>
        <w:t xml:space="preserve">make_figures_v3.py</w:t>
      </w:r>
      <w:r>
        <w:t xml:space="preserve"> </w:t>
      </w:r>
      <w:r>
        <w:t xml:space="preserve">and</w:t>
      </w:r>
      <w:r>
        <w:t xml:space="preserve"> </w:t>
      </w:r>
      <w:r>
        <w:rPr>
          <w:rStyle w:val="VerbatimChar"/>
        </w:rPr>
        <w:t xml:space="preserve">benchmarks/make_supplementary_figures.py</w:t>
      </w:r>
      <w:r>
        <w:t xml:space="preserve"> </w:t>
      </w:r>
      <w:r>
        <w:t xml:space="preserve">(with</w:t>
      </w:r>
      <w:r>
        <w:t xml:space="preserve"> </w:t>
      </w:r>
      <w:r>
        <w:rPr>
          <w:rStyle w:val="VerbatimChar"/>
        </w:rPr>
        <w:t xml:space="preserve">make_figS3S4.py</w:t>
      </w:r>
      <w:r>
        <w:t xml:space="preserve">,</w:t>
      </w:r>
      <w:r>
        <w:t xml:space="preserve"> </w:t>
      </w:r>
      <w:r>
        <w:rPr>
          <w:rStyle w:val="VerbatimChar"/>
        </w:rPr>
        <w:t xml:space="preserve">make_redock_figures.py</w:t>
      </w:r>
      <w:r>
        <w:t xml:space="preserve">,</w:t>
      </w:r>
      <w:r>
        <w:t xml:space="preserve"> </w:t>
      </w:r>
      <w:r>
        <w:rPr>
          <w:rStyle w:val="VerbatimChar"/>
        </w:rPr>
        <w:t xml:space="preserve">make_graphical_abstract.py</w:t>
      </w:r>
      <w:r>
        <w:t xml:space="preserve">), figure-generation scripts for all main and supplementary figures (600-dpi PNG + vector PDF + TIFF, three formats).</w:t>
      </w:r>
    </w:p>
    <w:p>
      <w:pPr>
        <w:pStyle w:val="Compact"/>
        <w:numPr>
          <w:ilvl w:val="0"/>
          <w:numId w:val="1028"/>
        </w:numPr>
      </w:pPr>
      <w:r>
        <w:rPr>
          <w:rStyle w:val="VerbatimChar"/>
        </w:rPr>
        <w:t xml:space="preserve">figures/figS1_energy_well_landscape.*</w:t>
      </w:r>
      <w:r>
        <w:t xml:space="preserve">, coordination-well landscape over 110 modes (Fig. S1).</w:t>
      </w:r>
    </w:p>
    <w:p>
      <w:pPr>
        <w:pStyle w:val="Compact"/>
        <w:numPr>
          <w:ilvl w:val="0"/>
          <w:numId w:val="1028"/>
        </w:numPr>
      </w:pPr>
      <w:r>
        <w:rPr>
          <w:rStyle w:val="VerbatimChar"/>
        </w:rPr>
        <w:t xml:space="preserve">benchmarks/real_systems/</w:t>
      </w:r>
      <w:r>
        <w:t xml:space="preserve">, 4JC three-engine comparison and 1HVR/3PTB backward-compatibility runs.</w:t>
      </w:r>
    </w:p>
    <w:p>
      <w:pPr>
        <w:pStyle w:val="Compact"/>
        <w:numPr>
          <w:ilvl w:val="0"/>
          <w:numId w:val="1028"/>
        </w:numPr>
      </w:pPr>
      <w:r>
        <w:rPr>
          <w:rStyle w:val="VerbatimChar"/>
        </w:rPr>
        <w:t xml:space="preserve">benchmarks/metallocomplex_redocking_benchmark.py</w:t>
      </w:r>
      <w:r>
        <w:t xml:space="preserve"> </w:t>
      </w:r>
      <w:r>
        <w:t xml:space="preserve">+</w:t>
      </w:r>
      <w:r>
        <w:t xml:space="preserve"> </w:t>
      </w:r>
      <w:r>
        <w:rPr>
          <w:rStyle w:val="VerbatimChar"/>
        </w:rPr>
        <w:t xml:space="preserve">metallocomplex_results/</w:t>
      </w:r>
      <w:r>
        <w:t xml:space="preserve">, metal-as-ligand redocking pipeline (full Pt/Pd/Ru/Os/Re pool, n=20, Section 4.6).</w:t>
      </w:r>
    </w:p>
    <w:p>
      <w:pPr>
        <w:pStyle w:val="Compact"/>
        <w:numPr>
          <w:ilvl w:val="0"/>
          <w:numId w:val="1028"/>
        </w:numPr>
      </w:pPr>
      <w:r>
        <w:rPr>
          <w:rStyle w:val="VerbatimChar"/>
        </w:rPr>
        <w:t xml:space="preserve">benchmarks/run_c3_ablation.py</w:t>
      </w:r>
      <w:r>
        <w:t xml:space="preserve"> </w:t>
      </w:r>
      <w:r>
        <w:t xml:space="preserve">+</w:t>
      </w:r>
      <w:r>
        <w:t xml:space="preserve"> </w:t>
      </w:r>
      <w:r>
        <w:rPr>
          <w:rStyle w:val="VerbatimChar"/>
        </w:rPr>
        <w:t xml:space="preserve">c3_ablation_results.json</w:t>
      </w:r>
      <w:r>
        <w:t xml:space="preserve">, C3 deep-pocket ablation (single-stage vs C3 vs C3b, six synthetic deep-pocket presets, Section 4.6).</w:t>
      </w:r>
    </w:p>
    <w:p>
      <w:pPr>
        <w:pStyle w:val="Compact"/>
        <w:numPr>
          <w:ilvl w:val="0"/>
          <w:numId w:val="1028"/>
        </w:numPr>
      </w:pPr>
      <w:r>
        <w:rPr>
          <w:rStyle w:val="VerbatimChar"/>
        </w:rPr>
        <w:t xml:space="preserve">benchmarks/run_soft_weight_ablation.py</w:t>
      </w:r>
      <w:r>
        <w:t xml:space="preserve"> </w:t>
      </w:r>
      <w:r>
        <w:t xml:space="preserve">+</w:t>
      </w:r>
      <w:r>
        <w:t xml:space="preserve"> </w:t>
      </w:r>
      <w:r>
        <w:rPr>
          <w:rStyle w:val="VerbatimChar"/>
        </w:rPr>
        <w:t xml:space="preserve">soft_weight_results.json</w:t>
      </w:r>
      <w:r>
        <w:t xml:space="preserve">,</w:t>
      </w:r>
      <w:r>
        <w:t xml:space="preserve"> </w:t>
      </w:r>
      <w:r>
        <w:rPr>
          <w:rStyle w:val="VerbatimChar"/>
        </w:rPr>
        <w:t xml:space="preserve">--metal_soft_weight</w:t>
      </w:r>
      <w:r>
        <w:t xml:space="preserve"> </w:t>
      </w:r>
      <w:r>
        <w:t xml:space="preserve">ablation (one real system each for Zn/Fe/Cu × w = 0/0.1/0.3/0.5, Section 4.6).</w:t>
      </w:r>
    </w:p>
    <w:p>
      <w:pPr>
        <w:pStyle w:val="Compact"/>
        <w:numPr>
          <w:ilvl w:val="0"/>
          <w:numId w:val="1028"/>
        </w:numPr>
      </w:pPr>
      <w:r>
        <w:rPr>
          <w:rStyle w:val="VerbatimChar"/>
        </w:rPr>
        <w:t xml:space="preserve">benchmarks/run_scoring_comparison.py</w:t>
      </w:r>
      <w:r>
        <w:t xml:space="preserve"> </w:t>
      </w:r>
      <w:r>
        <w:t xml:space="preserve">+</w:t>
      </w:r>
      <w:r>
        <w:t xml:space="preserve"> </w:t>
      </w:r>
      <w:r>
        <w:rPr>
          <w:rStyle w:val="VerbatimChar"/>
        </w:rPr>
        <w:t xml:space="preserve">scoring_comparison_results.json</w:t>
      </w:r>
      <w:r>
        <w:t xml:space="preserve">, scoring-function comparison on 4JC/3HS4/6OIM (Table 9, Fig. S5).</w:t>
      </w:r>
    </w:p>
    <w:p>
      <w:pPr>
        <w:pStyle w:val="Compact"/>
        <w:numPr>
          <w:ilvl w:val="0"/>
          <w:numId w:val="1028"/>
        </w:numPr>
      </w:pPr>
      <w:r>
        <w:rPr>
          <w:rStyle w:val="VerbatimChar"/>
        </w:rPr>
        <w:t xml:space="preserve">benchmarks/run_parameter_sweeps.py</w:t>
      </w:r>
      <w:r>
        <w:t xml:space="preserve"> </w:t>
      </w:r>
      <w:r>
        <w:t xml:space="preserve">+</w:t>
      </w:r>
      <w:r>
        <w:t xml:space="preserve"> </w:t>
      </w:r>
      <w:r>
        <w:rPr>
          <w:rStyle w:val="VerbatimChar"/>
        </w:rPr>
        <w:t xml:space="preserve">parameter_sweep_results.json</w:t>
      </w:r>
      <w:r>
        <w:t xml:space="preserve"> </w:t>
      </w:r>
      <w:r>
        <w:t xml:space="preserve">+</w:t>
      </w:r>
      <w:r>
        <w:t xml:space="preserve"> </w:t>
      </w:r>
      <w:r>
        <w:rPr>
          <w:rStyle w:val="VerbatimChar"/>
        </w:rPr>
        <w:t xml:space="preserve">parameter_sweeps/</w:t>
      </w:r>
      <w:r>
        <w:t xml:space="preserve">, exhaustiveness convergence, seed variance, soft-weight and metal-bias sweeps, reactive-strength linearity (Figs. S6–S9).</w:t>
      </w:r>
    </w:p>
    <w:p>
      <w:pPr>
        <w:pStyle w:val="Compact"/>
        <w:numPr>
          <w:ilvl w:val="0"/>
          <w:numId w:val="1028"/>
        </w:numPr>
      </w:pPr>
      <w:r>
        <w:rPr>
          <w:rStyle w:val="VerbatimChar"/>
        </w:rPr>
        <w:t xml:space="preserve">benchmarks/run_hotspot_cases.py</w:t>
      </w:r>
      <w:r>
        <w:t xml:space="preserve"> </w:t>
      </w:r>
      <w:r>
        <w:t xml:space="preserve">+</w:t>
      </w:r>
      <w:r>
        <w:t xml:space="preserve"> </w:t>
      </w:r>
      <w:r>
        <w:rPr>
          <w:rStyle w:val="VerbatimChar"/>
        </w:rPr>
        <w:t xml:space="preserve">hotspot_results.json</w:t>
      </w:r>
      <w:r>
        <w:t xml:space="preserve"> </w:t>
      </w:r>
      <w:r>
        <w:t xml:space="preserve">+</w:t>
      </w:r>
      <w:r>
        <w:t xml:space="preserve"> </w:t>
      </w:r>
      <w:r>
        <w:rPr>
          <w:rStyle w:val="VerbatimChar"/>
        </w:rPr>
        <w:t xml:space="preserve">hotspot_cases/</w:t>
      </w:r>
      <w:r>
        <w:t xml:space="preserve">, hotspot-target cases (KRAS G12C 6OIM covalent, CA II 3HS4 zinc; Fig. S10).</w:t>
      </w:r>
    </w:p>
    <w:p>
      <w:pPr>
        <w:pStyle w:val="Compact"/>
        <w:numPr>
          <w:ilvl w:val="0"/>
          <w:numId w:val="1028"/>
        </w:numPr>
      </w:pPr>
      <w:r>
        <w:rPr>
          <w:rStyle w:val="VerbatimChar"/>
        </w:rPr>
        <w:t xml:space="preserve">make_supplementary_figures.py</w:t>
      </w:r>
      <w:r>
        <w:t xml:space="preserve">, one-command regeneration of Fig. S5–S10.</w:t>
      </w:r>
    </w:p>
    <w:p>
      <w:pPr>
        <w:pStyle w:val="Compact"/>
        <w:numPr>
          <w:ilvl w:val="0"/>
          <w:numId w:val="1028"/>
        </w:numPr>
      </w:pPr>
      <w:r>
        <w:t xml:space="preserve">Regression suite (17 checks, A–F groups; highest-value items re-executed on the live binary in this work, Section 3.1), shipped with the release tag.</w:t>
      </w:r>
    </w:p>
    <w:p>
      <w:pPr>
        <w:pStyle w:val="Compact"/>
        <w:numPr>
          <w:ilvl w:val="0"/>
          <w:numId w:val="1028"/>
        </w:numPr>
      </w:pPr>
      <w:r>
        <w:t xml:space="preserve">PDBbind v2020-based Fe³⁺/Cu²⁺ collection criteria and per-complex metrics (repository).</w:t>
      </w:r>
    </w:p>
    <w:p>
      <w:pPr>
        <w:pStyle w:val="Compact"/>
        <w:numPr>
          <w:ilvl w:val="0"/>
          <w:numId w:val="1028"/>
        </w:numPr>
      </w:pPr>
      <w:r>
        <w:t xml:space="preserve">NAC definition and the six-preset reactive benchmark (Section 3.4;</w:t>
      </w:r>
      <w:r>
        <w:t xml:space="preserve"> </w:t>
      </w:r>
      <w:r>
        <w:rPr>
          <w:rStyle w:val="VerbatimChar"/>
        </w:rPr>
        <w:t xml:space="preserve">benchmarks/run_covalent_full.py</w:t>
      </w:r>
      <w:r>
        <w:t xml:space="preserve"> </w:t>
      </w:r>
      <w:r>
        <w:t xml:space="preserve">+</w:t>
      </w:r>
      <w:r>
        <w:t xml:space="preserve"> </w:t>
      </w:r>
      <w:r>
        <w:rPr>
          <w:rStyle w:val="VerbatimChar"/>
        </w:rPr>
        <w:t xml:space="preserve">covalent_full_results.json</w:t>
      </w:r>
      <w:r>
        <w:t xml:space="preserve">). The 28-complex Cys-Michael benchmark cited in earlier versions (P1+P2 64.3%, NAC 71.4%) originates from the design document with no archived dataset and is superseded by the Section 3.4 synthetic end-to-end measurements.</w:t>
      </w:r>
    </w:p>
    <w:bookmarkEnd w:id="106"/>
    <w:bookmarkEnd w:id="107"/>
    <w:sectPr>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81" Target="media/rId81.png" /><Relationship Type="http://schemas.openxmlformats.org/officeDocument/2006/relationships/image" Id="rId38" Target="media/rId38.png" /><Relationship Type="http://schemas.openxmlformats.org/officeDocument/2006/relationships/image" Id="rId54" Target="media/rId54.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2026-09-12T06:06:10Z</dcterms:created>
  <dcterms:modified xsi:type="dcterms:W3CDTF">2026-09-12T06:06:10Z</dcterms:modified>
</cp:coreProperties>
</file>

<file path=docProps/custom.xml><?xml version="1.0" encoding="utf-8"?>
<Properties xmlns="http://schemas.openxmlformats.org/officeDocument/2006/custom-properties" xmlns:vt="http://schemas.openxmlformats.org/officeDocument/2006/docPropsVTypes"/>
</file>