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  <w:r>
        <w:rPr>
          <w:rFonts w:ascii="黑体" w:hAnsi="黑体" w:eastAsia="黑体"/>
          <w:b/>
          <w:sz w:val="40"/>
        </w:rPr>
        <w:t>论文核心白皮书</w:t>
      </w:r>
    </w:p>
    <w:p>
      <w:pPr>
        <w:jc w:val="center"/>
      </w:pPr>
      <w:r>
        <w:rPr>
          <w:rFonts w:ascii="Times New Roman" w:hAnsi="Times New Roman"/>
          <w:b/>
          <w:sz w:val="32"/>
        </w:rPr>
        <w:t>A Decoupled Execution-Supervision Intelligent Control Architecture via Data-Driven Policy Hardening</w:t>
      </w:r>
    </w:p>
    <w:p>
      <w:pPr>
        <w:jc w:val="center"/>
      </w:pPr>
      <w:r>
        <w:rPr>
          <w:rFonts w:ascii="楷体" w:hAnsi="楷体" w:eastAsia="楷体"/>
          <w:i/>
          <w:sz w:val="28"/>
        </w:rPr>
        <w:t>基于执行-监督流解耦与数据驱动策略固化的智能控制架构</w:t>
      </w:r>
    </w:p>
    <w:p>
      <w:pPr>
        <w:spacing w:before="320"/>
        <w:rPr>
          <w:rFonts w:ascii="黑体" w:hAnsi="黑体" w:eastAsia="黑体"/>
          <w:b/>
          <w:sz w:val="32"/>
        </w:rPr>
      </w:pPr>
      <w:r>
        <w:rPr>
          <w:rFonts w:ascii="黑体" w:hAnsi="黑体" w:eastAsia="黑体"/>
          <w:b/>
          <w:sz w:val="32"/>
        </w:rPr>
        <w:t>核心设计思想 (Core Design Philosophy)</w:t>
      </w:r>
    </w:p>
    <w:p>
      <w:pPr>
        <w:spacing w:before="320"/>
        <w:rPr>
          <w:rFonts w:ascii="黑体" w:hAnsi="黑体" w:eastAsia="黑体"/>
          <w:b/>
          <w:sz w:val="32"/>
        </w:rPr>
      </w:pPr>
      <w:r>
        <w:rPr>
          <w:rFonts w:ascii="黑体" w:hAnsi="黑体" w:eastAsia="黑体"/>
          <w:b/>
          <w:sz w:val="32"/>
        </w:rPr>
        <w:drawing>
          <wp:inline distT="0" distB="0" distL="114300" distR="114300">
            <wp:extent cx="5474970" cy="3195955"/>
            <wp:effectExtent l="0" t="0" r="11430" b="4445"/>
            <wp:docPr id="1" name="图片 1" descr="智能PI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智能PID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7497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20"/>
      </w:pPr>
      <w:r>
        <w:rPr>
          <w:rFonts w:ascii="宋体" w:hAnsi="宋体" w:eastAsia="宋体"/>
          <w:sz w:val="24"/>
        </w:rPr>
        <w:t>本研究提出了一种突破传统闭环控制限制的全新拓扑架构。受到生物体"脊髓条件反射（低级无意识执行）与大脑皮层（高级有意识监督）"双系统协同机制的启发，我们将控制系统彻底解耦为两个独立并行的流向。</w:t>
      </w:r>
    </w:p>
    <w:p>
      <w:pPr>
        <w:spacing w:before="200"/>
        <w:ind w:left="283"/>
      </w:pPr>
      <w:r>
        <w:rPr>
          <w:rFonts w:ascii="黑体" w:hAnsi="黑体" w:eastAsia="黑体"/>
          <w:b/>
          <w:sz w:val="28"/>
        </w:rPr>
        <w:t>右侧：高频确定性执行流 (The Execution Loop)</w:t>
      </w:r>
    </w:p>
    <w:p>
      <w:pPr>
        <w:ind w:firstLine="420"/>
      </w:pPr>
      <w:r>
        <w:rPr>
          <w:rFonts w:ascii="宋体" w:hAnsi="宋体" w:eastAsia="宋体"/>
          <w:sz w:val="24"/>
        </w:rPr>
        <w:t>专注于死抠纯粹的闭环算法，运行频率高达1kHz。它被剥离了所有的"思考"负担，只管以最高的实时性去咬合经过修正的目标值。</w:t>
      </w:r>
    </w:p>
    <w:p>
      <w:pPr>
        <w:spacing w:before="200"/>
        <w:ind w:left="283"/>
      </w:pPr>
      <w:r>
        <w:rPr>
          <w:rFonts w:ascii="黑体" w:hAnsi="黑体" w:eastAsia="黑体"/>
          <w:b/>
          <w:sz w:val="28"/>
        </w:rPr>
        <w:t>左侧：自适应智能监督流 (The Supervision Loop)</w:t>
      </w:r>
    </w:p>
    <w:p>
      <w:pPr>
        <w:ind w:firstLine="420"/>
      </w:pPr>
      <w:r>
        <w:rPr>
          <w:rFonts w:ascii="宋体" w:hAnsi="宋体" w:eastAsia="宋体"/>
          <w:sz w:val="24"/>
        </w:rPr>
        <w:t>独立并行运行。它拥有三大"上帝视角"特权：</w:t>
      </w:r>
    </w:p>
    <w:p>
      <w:pPr>
        <w:ind w:left="850"/>
      </w:pPr>
      <w:r>
        <w:rPr>
          <w:rFonts w:ascii="宋体" w:hAnsi="宋体" w:eastAsia="宋体"/>
          <w:sz w:val="24"/>
        </w:rPr>
        <w:t>1. 动态目标自闭环：将系统当前的实际反馈值反向送回目标规划端，通过多轮前向预测推演，自动在线修正不合理的目标。</w:t>
      </w:r>
    </w:p>
    <w:p>
      <w:pPr>
        <w:ind w:left="850"/>
      </w:pPr>
      <w:r>
        <w:rPr>
          <w:rFonts w:ascii="宋体" w:hAnsi="宋体" w:eastAsia="宋体"/>
          <w:sz w:val="24"/>
        </w:rPr>
        <w:t>2. 跨层级主动调控：当本地闭环能量泛函过载时，越过底层，主动向外部更高级的主机发送战略重构请求。</w:t>
      </w:r>
    </w:p>
    <w:p>
      <w:pPr>
        <w:spacing w:before="320"/>
      </w:pPr>
      <w:r>
        <w:rPr>
          <w:rFonts w:ascii="黑体" w:hAnsi="黑体" w:eastAsia="黑体"/>
          <w:b/>
          <w:sz w:val="32"/>
        </w:rPr>
        <w:t>核心创新工作流：数据驱动的"策略进化" (Workflow)</w:t>
      </w:r>
    </w:p>
    <w:p>
      <w:pPr>
        <w:ind w:firstLine="420"/>
      </w:pPr>
      <w:r>
        <w:rPr>
          <w:rFonts w:ascii="宋体" w:hAnsi="宋体" w:eastAsia="宋体"/>
          <w:sz w:val="24"/>
        </w:rPr>
        <w:t>这是本架构最具商业与学术价值的闭环演进机制（如下图所示）：</w:t>
      </w:r>
    </w:p>
    <w:p>
      <w:pPr>
        <w:spacing w:before="160" w:after="160"/>
        <w:jc w:val="center"/>
      </w:pPr>
      <w:r>
        <w:rPr>
          <w:rFonts w:ascii="Consolas" w:hAnsi="Consolas"/>
          <w:sz w:val="22"/>
        </w:rPr>
        <w:t>[未知环境测试/突发异常] ──&gt; [Ring Buffer自动锁存5s高频波形]</w:t>
      </w:r>
      <w:r>
        <w:rPr>
          <w:rFonts w:ascii="Consolas" w:hAnsi="Consolas"/>
          <w:sz w:val="22"/>
        </w:rPr>
        <w:br w:type="textWrapping"/>
      </w:r>
      <w:r>
        <w:rPr>
          <w:rFonts w:ascii="Consolas" w:hAnsi="Consolas"/>
          <w:sz w:val="22"/>
        </w:rPr>
        <w:t xml:space="preserve">                                        │</w:t>
      </w:r>
      <w:r>
        <w:rPr>
          <w:rFonts w:ascii="Consolas" w:hAnsi="Consolas"/>
          <w:sz w:val="22"/>
        </w:rPr>
        <w:br w:type="textWrapping"/>
      </w:r>
      <w:r>
        <w:rPr>
          <w:rFonts w:ascii="Consolas" w:hAnsi="Consolas"/>
          <w:sz w:val="22"/>
        </w:rPr>
        <w:t xml:space="preserve">                                        ▼</w:t>
      </w:r>
      <w:r>
        <w:rPr>
          <w:rFonts w:ascii="Consolas" w:hAnsi="Consolas"/>
          <w:sz w:val="22"/>
        </w:rPr>
        <w:br w:type="textWrapping"/>
      </w:r>
      <w:r>
        <w:rPr>
          <w:rFonts w:ascii="Consolas" w:hAnsi="Consolas"/>
          <w:sz w:val="22"/>
        </w:rPr>
        <w:t>[底层执行器潜意识固化] &lt;── [提炼轻量级特征门限] &lt;── [离线复盘与安全审计]</w:t>
      </w:r>
    </w:p>
    <w:p>
      <w:pPr>
        <w:spacing w:before="200"/>
        <w:ind w:left="283"/>
      </w:pPr>
      <w:r>
        <w:rPr>
          <w:rFonts w:ascii="黑体" w:hAnsi="黑体" w:eastAsia="黑体"/>
          <w:b/>
          <w:sz w:val="28"/>
        </w:rPr>
        <w:t>1. 思考型捕获 (Phase 1)</w:t>
      </w:r>
    </w:p>
    <w:p>
      <w:pPr>
        <w:ind w:firstLine="420"/>
      </w:pPr>
      <w:r>
        <w:rPr>
          <w:rFonts w:ascii="宋体" w:hAnsi="宋体" w:eastAsia="宋体"/>
          <w:sz w:val="24"/>
        </w:rPr>
        <w:t>系统初期运行于复杂非结构化环境时，内置的黑匣子（Ring Buffer）会默默记录所有的异常机械冲击。一旦触发调控请求，系统会自动锁存现场数据。</w:t>
      </w:r>
    </w:p>
    <w:p>
      <w:pPr>
        <w:spacing w:before="200"/>
        <w:ind w:left="283"/>
      </w:pPr>
      <w:r>
        <w:rPr>
          <w:rFonts w:ascii="黑体" w:hAnsi="黑体" w:eastAsia="黑体"/>
          <w:b/>
          <w:sz w:val="28"/>
        </w:rPr>
        <w:t>2. 策略固化 (Phase 2)</w:t>
      </w:r>
    </w:p>
    <w:p>
      <w:pPr>
        <w:ind w:firstLine="420"/>
      </w:pPr>
      <w:r>
        <w:rPr>
          <w:rFonts w:ascii="宋体" w:hAnsi="宋体" w:eastAsia="宋体"/>
          <w:sz w:val="24"/>
        </w:rPr>
        <w:t>通过对异常波形数据的二次复盘，提炼出特征边界。</w:t>
      </w:r>
    </w:p>
    <w:p>
      <w:pPr>
        <w:spacing w:before="200"/>
        <w:ind w:left="283"/>
      </w:pPr>
      <w:r>
        <w:rPr>
          <w:rFonts w:ascii="黑体" w:hAnsi="黑体" w:eastAsia="黑体"/>
          <w:b/>
          <w:sz w:val="28"/>
        </w:rPr>
        <w:t>3. 无意识条件反射 (Phase 3)</w:t>
      </w:r>
    </w:p>
    <w:p>
      <w:pPr>
        <w:ind w:firstLine="420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将策略精简为极低算力开销的逻辑，直接并入高频执行层。当系统再次遇到相同危机时，无需通过上层思考，底层微秒级触发"潜意识"保护动作，实现控制器的自我进化。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注：传统PID模式</w:t>
      </w:r>
    </w:p>
    <w:p>
      <w:pPr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drawing>
          <wp:inline distT="0" distB="0" distL="114300" distR="114300">
            <wp:extent cx="5472430" cy="2468880"/>
            <wp:effectExtent l="0" t="0" r="1270" b="7620"/>
            <wp:docPr id="2" name="图片 2" descr="传统PI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传统PID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7243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Eran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AMGDT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Eran">
    <w:panose1 w:val="02000609000000000000"/>
    <w:charset w:val="80"/>
    <w:family w:val="auto"/>
    <w:pitch w:val="default"/>
    <w:sig w:usb0="A00002BF" w:usb1="68C7FCFB" w:usb2="00000000" w:usb3="00000000" w:csb0="4002000F" w:csb1="D2000000"/>
  </w:font>
  <w:font w:name="ＭＳ 明朝">
    <w:altName w:val="AMGDT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cumentProtection w:enforcement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8131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冷静一下</cp:lastModifiedBy>
  <dcterms:modified xsi:type="dcterms:W3CDTF">2026-07-02T14:18:14Z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