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78192">
      <w:pPr>
        <w:jc w:val="center"/>
      </w:pPr>
      <w:r>
        <w:rPr>
          <w:rFonts w:ascii="微软雅黑" w:hAnsi="微软雅黑" w:eastAsia="微软雅黑"/>
          <w:b/>
          <w:color w:val="0F172A"/>
          <w:sz w:val="36"/>
        </w:rPr>
        <w:t>产品需求文档（PRD）</w:t>
      </w:r>
    </w:p>
    <w:p w14:paraId="5CD99B07">
      <w:pPr>
        <w:jc w:val="center"/>
      </w:pPr>
      <w:r>
        <w:rPr>
          <w:rFonts w:ascii="微软雅黑" w:hAnsi="微软雅黑" w:eastAsia="微软雅黑"/>
          <w:color w:val="374151"/>
          <w:sz w:val="26"/>
        </w:rPr>
        <w:t>营销规划智能体 — 产品画像分析卡片（20260516版本）</w:t>
      </w:r>
    </w:p>
    <w:p w14:paraId="6E26B393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7FABA39">
        <w:tc>
          <w:tcPr>
            <w:tcW w:w="2351" w:type="dxa"/>
            <w:shd w:val="clear" w:color="auto" w:fill="D7D7D7" w:themeFill="background1" w:themeFillShade="D8"/>
          </w:tcPr>
          <w:p w14:paraId="4DFE861D">
            <w:pPr>
              <w:spacing w:after="0" w:line="240" w:lineRule="auto"/>
              <w:rPr>
                <w:shd w:val="clear" w:color="auto" w:fill="auto"/>
              </w:rPr>
            </w:pPr>
            <w:r>
              <w:rPr>
                <w:rFonts w:ascii="微软雅黑" w:hAnsi="微软雅黑" w:eastAsia="微软雅黑"/>
                <w:b/>
                <w:shd w:val="clear" w:color="auto" w:fill="auto"/>
              </w:rPr>
              <w:t>文档版本</w:t>
            </w:r>
          </w:p>
        </w:tc>
        <w:tc>
          <w:tcPr>
            <w:tcW w:w="2351" w:type="dxa"/>
            <w:shd w:val="clear" w:color="auto" w:fill="D7D7D7" w:themeFill="background1" w:themeFillShade="D8"/>
          </w:tcPr>
          <w:p w14:paraId="3BB5B499">
            <w:pPr>
              <w:spacing w:after="0" w:line="240" w:lineRule="auto"/>
              <w:rPr>
                <w:shd w:val="clear" w:color="auto" w:fill="auto"/>
              </w:rPr>
            </w:pPr>
            <w:r>
              <w:rPr>
                <w:rFonts w:ascii="微软雅黑" w:hAnsi="微软雅黑" w:eastAsia="微软雅黑"/>
                <w:shd w:val="clear" w:color="auto" w:fill="auto"/>
              </w:rPr>
              <w:t>V1.0</w:t>
            </w:r>
          </w:p>
        </w:tc>
        <w:tc>
          <w:tcPr>
            <w:tcW w:w="2351" w:type="dxa"/>
            <w:shd w:val="clear" w:color="auto" w:fill="D7D7D7" w:themeFill="background1" w:themeFillShade="D8"/>
          </w:tcPr>
          <w:p w14:paraId="5A80E071">
            <w:pPr>
              <w:spacing w:after="0" w:line="240" w:lineRule="auto"/>
              <w:rPr>
                <w:shd w:val="clear" w:color="auto" w:fill="auto"/>
              </w:rPr>
            </w:pPr>
            <w:r>
              <w:rPr>
                <w:rFonts w:ascii="微软雅黑" w:hAnsi="微软雅黑" w:eastAsia="微软雅黑"/>
                <w:b/>
                <w:shd w:val="clear" w:color="auto" w:fill="auto"/>
              </w:rPr>
              <w:t>产品名称</w:t>
            </w:r>
          </w:p>
        </w:tc>
        <w:tc>
          <w:tcPr>
            <w:tcW w:w="2351" w:type="dxa"/>
            <w:shd w:val="clear" w:color="auto" w:fill="D7D7D7" w:themeFill="background1" w:themeFillShade="D8"/>
          </w:tcPr>
          <w:p w14:paraId="312C10F3">
            <w:pPr>
              <w:spacing w:after="0" w:line="240" w:lineRule="auto"/>
              <w:rPr>
                <w:shd w:val="clear" w:color="auto" w:fill="auto"/>
              </w:rPr>
            </w:pPr>
            <w:r>
              <w:rPr>
                <w:rFonts w:ascii="微软雅黑" w:hAnsi="微软雅黑" w:eastAsia="微软雅黑"/>
                <w:shd w:val="clear" w:color="auto" w:fill="auto"/>
              </w:rPr>
              <w:t>营销规划智能体</w:t>
            </w:r>
          </w:p>
        </w:tc>
      </w:tr>
      <w:tr w14:paraId="7B3ABEF8">
        <w:tc>
          <w:tcPr>
            <w:tcW w:w="2351" w:type="dxa"/>
            <w:shd w:val="clear" w:color="auto" w:fill="D7D7D7" w:themeFill="background1" w:themeFillShade="D8"/>
          </w:tcPr>
          <w:p w14:paraId="06A02683">
            <w:pPr>
              <w:spacing w:after="0" w:line="240" w:lineRule="auto"/>
              <w:rPr>
                <w:shd w:val="clear" w:color="auto" w:fill="auto"/>
              </w:rPr>
            </w:pPr>
            <w:r>
              <w:rPr>
                <w:rFonts w:ascii="微软雅黑" w:hAnsi="微软雅黑" w:eastAsia="微软雅黑"/>
                <w:b/>
                <w:shd w:val="clear" w:color="auto" w:fill="auto"/>
              </w:rPr>
              <w:t>所属模块</w:t>
            </w:r>
          </w:p>
        </w:tc>
        <w:tc>
          <w:tcPr>
            <w:tcW w:w="2351" w:type="dxa"/>
            <w:shd w:val="clear" w:color="auto" w:fill="D7D7D7" w:themeFill="background1" w:themeFillShade="D8"/>
          </w:tcPr>
          <w:p w14:paraId="225B4B4C">
            <w:pPr>
              <w:spacing w:after="0" w:line="240" w:lineRule="auto"/>
              <w:rPr>
                <w:shd w:val="clear" w:color="auto" w:fill="auto"/>
              </w:rPr>
            </w:pPr>
            <w:r>
              <w:rPr>
                <w:rFonts w:ascii="微软雅黑" w:hAnsi="微软雅黑" w:eastAsia="微软雅黑"/>
                <w:shd w:val="clear" w:color="auto" w:fill="auto"/>
              </w:rPr>
              <w:t>产品达成路径 &gt; 产品画像分析卡片</w:t>
            </w:r>
          </w:p>
        </w:tc>
        <w:tc>
          <w:tcPr>
            <w:tcW w:w="2351" w:type="dxa"/>
            <w:shd w:val="clear" w:color="auto" w:fill="D7D7D7" w:themeFill="background1" w:themeFillShade="D8"/>
          </w:tcPr>
          <w:p w14:paraId="5CA7A09D">
            <w:pPr>
              <w:spacing w:after="0" w:line="240" w:lineRule="auto"/>
              <w:rPr>
                <w:shd w:val="clear" w:color="auto" w:fill="auto"/>
              </w:rPr>
            </w:pPr>
            <w:r>
              <w:rPr>
                <w:rFonts w:ascii="微软雅黑" w:hAnsi="微软雅黑" w:eastAsia="微软雅黑"/>
                <w:b/>
                <w:shd w:val="clear" w:color="auto" w:fill="auto"/>
              </w:rPr>
              <w:t>文档状态</w:t>
            </w:r>
          </w:p>
        </w:tc>
        <w:tc>
          <w:tcPr>
            <w:tcW w:w="2351" w:type="dxa"/>
            <w:shd w:val="clear" w:color="auto" w:fill="D7D7D7" w:themeFill="background1" w:themeFillShade="D8"/>
          </w:tcPr>
          <w:p w14:paraId="6AED6441">
            <w:pPr>
              <w:spacing w:after="0" w:line="240" w:lineRule="auto"/>
              <w:rPr>
                <w:shd w:val="clear" w:color="auto" w:fill="auto"/>
              </w:rPr>
            </w:pPr>
            <w:r>
              <w:rPr>
                <w:rFonts w:ascii="微软雅黑" w:hAnsi="微软雅黑" w:eastAsia="微软雅黑"/>
                <w:shd w:val="clear" w:color="auto" w:fill="auto"/>
              </w:rPr>
              <w:t>初稿</w:t>
            </w:r>
          </w:p>
        </w:tc>
      </w:tr>
    </w:tbl>
    <w:p w14:paraId="7CA29F53"/>
    <w:p w14:paraId="2C6DF6D1">
      <w:r>
        <w:rPr>
          <w:rFonts w:ascii="微软雅黑" w:hAnsi="微软雅黑" w:eastAsia="微软雅黑"/>
          <w:b/>
        </w:rPr>
        <w:t>变更基线：</w:t>
      </w:r>
      <w:r>
        <w:rPr>
          <w:rFonts w:ascii="微软雅黑" w:hAnsi="微软雅黑" w:eastAsia="微软雅黑"/>
          <w:b w:val="0"/>
        </w:rPr>
        <w:t>20260428版本</w:t>
      </w:r>
    </w:p>
    <w:p w14:paraId="702C9B29">
      <w:pPr>
        <w:rPr>
          <w:rFonts w:hint="eastAsia" w:eastAsia="微软雅黑"/>
          <w:lang w:val="en-US" w:eastAsia="zh-CN"/>
        </w:rPr>
      </w:pPr>
    </w:p>
    <w:p w14:paraId="39737DD2">
      <w:pPr>
        <w:pStyle w:val="3"/>
      </w:pPr>
      <w:r>
        <w:rPr>
          <w:rFonts w:ascii="微软雅黑" w:hAnsi="微软雅黑" w:eastAsia="微软雅黑"/>
          <w:color w:val="0F172A"/>
        </w:rPr>
        <w:t>1. 需求目标</w:t>
      </w:r>
      <w:bookmarkStart w:id="0" w:name="_GoBack"/>
      <w:bookmarkEnd w:id="0"/>
    </w:p>
    <w:p w14:paraId="59A709A7">
      <w:r>
        <w:rPr>
          <w:rFonts w:ascii="微软雅黑" w:hAnsi="微软雅黑" w:eastAsia="微软雅黑"/>
        </w:rPr>
        <w:t>本文档仅描述相较于 20260428 版本的变动点，未提及的内容保持原版本设计不变。</w:t>
      </w:r>
    </w:p>
    <w:p w14:paraId="5047D38F">
      <w:r>
        <w:rPr>
          <w:rFonts w:ascii="微软雅黑" w:hAnsi="微软雅黑" w:eastAsia="微软雅黑"/>
        </w:rPr>
        <w:t>本次变动核心目标：</w:t>
      </w:r>
    </w:p>
    <w:p w14:paraId="4E4C636B">
      <w:pPr>
        <w:pStyle w:val="16"/>
        <w:ind w:left="283"/>
      </w:pPr>
      <w:r>
        <w:rPr>
          <w:rFonts w:ascii="微软雅黑" w:hAnsi="微软雅黑" w:eastAsia="微软雅黑"/>
        </w:rPr>
        <w:t>提升产品排名的可读性，让用户快速识别主力产品贡献顺序</w:t>
      </w:r>
    </w:p>
    <w:p w14:paraId="79118D26">
      <w:pPr>
        <w:pStyle w:val="16"/>
        <w:ind w:left="283"/>
      </w:pPr>
      <w:r>
        <w:rPr>
          <w:rFonts w:ascii="微软雅黑" w:hAnsi="微软雅黑" w:eastAsia="微软雅黑"/>
        </w:rPr>
        <w:t>增强当月占比数据的可视化程度，支持产品间相对贡献的直观比较</w:t>
      </w:r>
    </w:p>
    <w:p w14:paraId="7DD0FB31">
      <w:pPr>
        <w:pStyle w:val="16"/>
        <w:ind w:left="283"/>
      </w:pPr>
      <w:r>
        <w:rPr>
          <w:rFonts w:ascii="微软雅黑" w:hAnsi="微软雅黑" w:eastAsia="微软雅黑"/>
        </w:rPr>
        <w:t>将月份标签由动态计算改为固定值，与实际历史数据区间对应</w:t>
      </w:r>
    </w:p>
    <w:p w14:paraId="1F62D526"/>
    <w:p w14:paraId="428A0A95">
      <w:pPr>
        <w:pStyle w:val="3"/>
      </w:pPr>
      <w:r>
        <w:rPr>
          <w:rFonts w:ascii="微软雅黑" w:hAnsi="微软雅黑" w:eastAsia="微软雅黑"/>
          <w:color w:val="0F172A"/>
        </w:rPr>
        <w:t>2. 变动点详细说明</w:t>
      </w:r>
    </w:p>
    <w:p w14:paraId="087A771F">
      <w:pPr>
        <w:pStyle w:val="4"/>
      </w:pPr>
      <w:r>
        <w:rPr>
          <w:rFonts w:ascii="微软雅黑" w:hAnsi="微软雅黑" w:eastAsia="微软雅黑"/>
          <w:color w:val="0F172A"/>
        </w:rPr>
        <w:t>2.</w:t>
      </w:r>
      <w:r>
        <w:rPr>
          <w:rFonts w:hint="eastAsia" w:ascii="微软雅黑" w:hAnsi="微软雅黑" w:eastAsia="微软雅黑"/>
          <w:color w:val="0F172A"/>
          <w:lang w:val="en-US" w:eastAsia="zh-CN"/>
        </w:rPr>
        <w:t>1</w:t>
      </w:r>
      <w:r>
        <w:rPr>
          <w:rFonts w:ascii="微软雅黑" w:hAnsi="微软雅黑" w:eastAsia="微软雅黑"/>
          <w:color w:val="0F172A"/>
        </w:rPr>
        <w:t xml:space="preserve">  当月"占比"列表头：新增排序标识</w:t>
      </w:r>
    </w:p>
    <w:p w14:paraId="7C60D8F3">
      <w:r>
        <w:rPr>
          <w:rFonts w:ascii="微软雅黑" w:hAnsi="微软雅黑" w:eastAsia="微软雅黑"/>
          <w:b/>
        </w:rPr>
        <w:t>变更前：</w:t>
      </w:r>
      <w:r>
        <w:rPr>
          <w:rFonts w:ascii="微软雅黑" w:hAnsi="微软雅黑" w:eastAsia="微软雅黑"/>
          <w:b w:val="0"/>
        </w:rPr>
        <w:t>当月（2025年4月）占比列的列头显示为纯文字"占比"。</w:t>
      </w:r>
    </w:p>
    <w:p w14:paraId="06F92420">
      <w:r>
        <w:rPr>
          <w:rFonts w:ascii="微软雅黑" w:hAnsi="微软雅黑" w:eastAsia="微软雅黑"/>
          <w:b/>
        </w:rPr>
        <w:t>变更后：</w:t>
      </w:r>
      <w:r>
        <w:rPr>
          <w:rFonts w:ascii="微软雅黑" w:hAnsi="微软雅黑" w:eastAsia="微软雅黑"/>
          <w:b w:val="0"/>
        </w:rPr>
        <w:t>在"占比"文字旁新增向下排序箭头标识，表示当前表格按该列降序排列，视觉上与其他列表头区分，标识为当前激活排序列。上月与下月的"占比"列表头保持纯文字，不添加排序标识。</w:t>
      </w:r>
    </w:p>
    <w:p w14:paraId="178A05A9">
      <w:pPr>
        <w:pStyle w:val="4"/>
      </w:pPr>
      <w:r>
        <w:rPr>
          <w:rFonts w:ascii="微软雅黑" w:hAnsi="微软雅黑" w:eastAsia="微软雅黑"/>
          <w:color w:val="0F172A"/>
        </w:rPr>
        <w:t>2.</w:t>
      </w:r>
      <w:r>
        <w:rPr>
          <w:rFonts w:hint="eastAsia" w:ascii="微软雅黑" w:hAnsi="微软雅黑" w:eastAsia="微软雅黑"/>
          <w:color w:val="0F172A"/>
          <w:lang w:val="en-US" w:eastAsia="zh-CN"/>
        </w:rPr>
        <w:t>2</w:t>
      </w:r>
      <w:r>
        <w:rPr>
          <w:rFonts w:ascii="微软雅黑" w:hAnsi="微软雅黑" w:eastAsia="微软雅黑"/>
          <w:color w:val="0F172A"/>
        </w:rPr>
        <w:t xml:space="preserve">  当月"占比"列单元格：文字改为进度条+数值</w:t>
      </w:r>
    </w:p>
    <w:p w14:paraId="0C6729CC">
      <w:r>
        <w:rPr>
          <w:rFonts w:ascii="微软雅黑" w:hAnsi="微软雅黑" w:eastAsia="微软雅黑"/>
          <w:b/>
        </w:rPr>
        <w:t>变更前：</w:t>
      </w:r>
      <w:r>
        <w:rPr>
          <w:rFonts w:ascii="微软雅黑" w:hAnsi="微软雅黑" w:eastAsia="微软雅黑"/>
          <w:b w:val="0"/>
        </w:rPr>
        <w:t>当月占比单元格展示纯文字百分比（如 22.9%）。</w:t>
      </w:r>
    </w:p>
    <w:p w14:paraId="2B98CD61">
      <w:r>
        <w:rPr>
          <w:rFonts w:ascii="微软雅黑" w:hAnsi="微软雅黑" w:eastAsia="微软雅黑"/>
          <w:b/>
        </w:rPr>
        <w:t>变更后：</w:t>
      </w:r>
      <w:r>
        <w:rPr>
          <w:rFonts w:ascii="微软雅黑" w:hAnsi="微软雅黑" w:eastAsia="微软雅黑"/>
          <w:b w:val="0"/>
        </w:rPr>
        <w:t>改为进度条与数值组合展示，规则如下：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73C7116F">
        <w:tc>
          <w:tcPr>
            <w:tcW w:w="2268" w:type="dxa"/>
            <w:shd w:val="clear" w:color="auto" w:fill="7F7F7F" w:themeFill="text1" w:themeFillTint="7F"/>
          </w:tcPr>
          <w:p w14:paraId="316C0454">
            <w:pPr>
              <w:spacing w:after="0" w:line="240" w:lineRule="auto"/>
              <w:jc w:val="center"/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规则项</w:t>
            </w:r>
          </w:p>
        </w:tc>
        <w:tc>
          <w:tcPr>
            <w:tcW w:w="6236" w:type="dxa"/>
            <w:shd w:val="clear" w:color="auto" w:fill="7F7F7F" w:themeFill="text1" w:themeFillTint="7F"/>
          </w:tcPr>
          <w:p w14:paraId="077D84CB">
            <w:pPr>
              <w:spacing w:after="0" w:line="240" w:lineRule="auto"/>
              <w:jc w:val="center"/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7690A5">
        <w:tc>
          <w:tcPr>
            <w:tcW w:w="2268" w:type="dxa"/>
          </w:tcPr>
          <w:p w14:paraId="72FD25B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布局</w:t>
            </w:r>
          </w:p>
        </w:tc>
        <w:tc>
          <w:tcPr>
            <w:tcW w:w="6236" w:type="dxa"/>
          </w:tcPr>
          <w:p w14:paraId="3314F7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进度条与百分比数值水平排列，进度条在左，数值在右</w:t>
            </w:r>
          </w:p>
        </w:tc>
      </w:tr>
      <w:tr w14:paraId="70A2B1BC">
        <w:tc>
          <w:tcPr>
            <w:tcW w:w="2268" w:type="dxa"/>
            <w:shd w:val="clear" w:color="auto" w:fill="F8FAFF"/>
          </w:tcPr>
          <w:p w14:paraId="16FF8F4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进度条长度</w:t>
            </w:r>
          </w:p>
        </w:tc>
        <w:tc>
          <w:tcPr>
            <w:tcW w:w="6236" w:type="dxa"/>
            <w:shd w:val="clear" w:color="auto" w:fill="F8FAFF"/>
          </w:tcPr>
          <w:p w14:paraId="1BD762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按该产品占比相对当月所有产品中最高占比的比例缩放，最高占比产品对应满宽</w:t>
            </w:r>
          </w:p>
        </w:tc>
      </w:tr>
      <w:tr w14:paraId="2560D1EB">
        <w:tc>
          <w:tcPr>
            <w:tcW w:w="2268" w:type="dxa"/>
          </w:tcPr>
          <w:p w14:paraId="15088B3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进度条颜色</w:t>
            </w:r>
          </w:p>
        </w:tc>
        <w:tc>
          <w:tcPr>
            <w:tcW w:w="6236" w:type="dxa"/>
          </w:tcPr>
          <w:p w14:paraId="144BBDD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与该产品排名标识的视觉权重保持一致，排名越高颜色越深</w:t>
            </w:r>
          </w:p>
        </w:tc>
      </w:tr>
      <w:tr w14:paraId="7689E5A0">
        <w:tc>
          <w:tcPr>
            <w:tcW w:w="2268" w:type="dxa"/>
            <w:shd w:val="clear" w:color="auto" w:fill="F8FAFF"/>
          </w:tcPr>
          <w:p w14:paraId="3E9AA0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仅限当月列</w:t>
            </w:r>
          </w:p>
        </w:tc>
        <w:tc>
          <w:tcPr>
            <w:tcW w:w="6236" w:type="dxa"/>
            <w:shd w:val="clear" w:color="auto" w:fill="F8FAFF"/>
          </w:tcPr>
          <w:p w14:paraId="09D9520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上月和下月的占比列仍保持纯文字展示，不添加进度条</w:t>
            </w:r>
          </w:p>
        </w:tc>
      </w:tr>
    </w:tbl>
    <w:p w14:paraId="6638D09E"/>
    <w:p w14:paraId="58BB9B77"/>
    <w:p w14:paraId="5F814599"/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D514F9"/>
    <w:rsid w:val="9EDE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龙艺</cp:lastModifiedBy>
  <dcterms:modified xsi:type="dcterms:W3CDTF">2026-04-22T10:48:03Z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A62910C97D1DB0BD2435E869DE6000CF_42</vt:lpwstr>
  </property>
</Properties>
</file>