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датасетов</w:t>
      </w:r>
    </w:p>
    <w:p>
      <w:pPr>
        <w:spacing w:after="180"/>
      </w:pPr>
      <w:r>
        <w:rPr>
          <w:sz w:val="19"/>
        </w:rPr>
        <w:t>Папка: C:\Users\TEG\Downloads\yandex\Датасеты_по_темам</w:t>
      </w:r>
    </w:p>
    <w:p>
      <w:pPr>
        <w:pStyle w:val="Heading1"/>
      </w:pPr>
      <w:r>
        <w:t>Население и экономика стран и территорий</w:t>
      </w:r>
    </w:p>
    <w:p>
      <w:pPr>
        <w:spacing w:after="100"/>
      </w:pPr>
      <w:r>
        <w:rPr>
          <w:sz w:val="20"/>
        </w:rPr>
        <w:t>Папка: 01_Население_и_экономика</w:t>
      </w:r>
    </w:p>
    <w:p>
      <w:pPr>
        <w:pStyle w:val="Heading2"/>
      </w:pPr>
      <w:r>
        <w:t>Население пяти стран</w:t>
      </w:r>
    </w:p>
    <w:p>
      <w:pPr>
        <w:keepNext/>
        <w:spacing w:after="60"/>
      </w:pPr>
      <w:r>
        <w:rPr>
          <w:sz w:val="20"/>
        </w:rPr>
        <w:t>01_Население_пяти_стран.csv</w:t>
      </w:r>
    </w:p>
    <w:p>
      <w:r>
        <w:t>Численность населения Бразилии, Китая, Индии, России и США по годам с 2000 по 2024. Каждая строка содержит год, код страны, название страны и оценку населения на середину года в людях. Всего 125 записей.</w:t>
      </w:r>
    </w:p>
    <w:p>
      <w:pPr>
        <w:pStyle w:val="Heading2"/>
      </w:pPr>
      <w:r>
        <w:t>ВВП на жителя двенадцати стран</w:t>
      </w:r>
    </w:p>
    <w:p>
      <w:pPr>
        <w:keepNext/>
        <w:spacing w:after="60"/>
      </w:pPr>
      <w:r>
        <w:rPr>
          <w:sz w:val="20"/>
        </w:rPr>
        <w:t>02_ВВП_на_жителя_двенадцати_стран.xlsx</w:t>
      </w:r>
    </w:p>
    <w:p>
      <w:r>
        <w:t>ВВП на жителя — объём производства в расчёте на человека — за 2023 год. Представлены Австралия, Бразилия, Канада, Китай, Германия, Франция, Великобритания, Индия, Япония, Россия, США и ЮАР. Для каждой страны указаны год, код, название и значение ВВП на жителя в долларах США в ценах 2015 года.</w:t>
      </w:r>
    </w:p>
    <w:p>
      <w:pPr>
        <w:pStyle w:val="Heading2"/>
      </w:pPr>
      <w:r>
        <w:t>Справочник стран и территорий</w:t>
      </w:r>
    </w:p>
    <w:p>
      <w:pPr>
        <w:keepNext/>
        <w:spacing w:after="60"/>
      </w:pPr>
      <w:r>
        <w:rPr>
          <w:sz w:val="20"/>
        </w:rPr>
        <w:t>05_Справочник_стран_и_территорий.xlsx</w:t>
      </w:r>
    </w:p>
    <w:p>
      <w:r>
        <w:t>217 стран и территорий World Bank по состоянию на 19 октября 2026 года. Для каждой записи указаны название, трёхсимвольный и двухсимвольный коды, регион, группа дохода, тип кредитования World Bank, столица, долгота и широта справочной точки в градусах. Некоторые столицы и координаты отсутствуют.</w:t>
      </w:r>
    </w:p>
    <w:p>
      <w:pPr>
        <w:pStyle w:val="Heading2"/>
      </w:pPr>
      <w:r>
        <w:t>Показатели стран с пропусками</w:t>
      </w:r>
    </w:p>
    <w:p>
      <w:pPr>
        <w:keepNext/>
        <w:spacing w:after="60"/>
      </w:pPr>
      <w:r>
        <w:rPr>
          <w:sz w:val="20"/>
        </w:rPr>
        <w:t>06_Показатели_стран_с_пропусками.json</w:t>
      </w:r>
    </w:p>
    <w:p>
      <w:r>
        <w:t>Показатели 217 стран и территорий за 2022 год: население в людях; ВВП на жителя в долларах США в ценах 2015 года; процент населения, использовавшего интернет за последние три месяца; процент населения с доступом к электричеству. Каждая строка также содержит год, код и название страны или территории. Значение null означает, что показатель не опубликован.</w:t>
      </w:r>
    </w:p>
    <w:p>
      <w:pPr>
        <w:spacing w:before="80" w:after="40"/>
      </w:pPr>
      <w:r>
        <w:rPr>
          <w:b/>
        </w:rPr>
        <w:t>Источники</w:t>
      </w:r>
    </w:p>
    <w:p>
      <w:hyperlink r:id="rId9">
        <w:r>
          <w:rPr>
            <w:rFonts w:ascii="Arial" w:hAnsi="Arial"/>
            <w:color w:val="000000"/>
            <w:u w:val="single"/>
            <w:sz w:val="22"/>
          </w:rPr>
          <w:t>World Bank WDI</w:t>
        </w:r>
      </w:hyperlink>
      <w:r>
        <w:t xml:space="preserve"> и </w:t>
      </w:r>
      <w:hyperlink r:id="rId10">
        <w:r>
          <w:rPr>
            <w:rFonts w:ascii="Arial" w:hAnsi="Arial"/>
            <w:color w:val="000000"/>
            <w:u w:val="single"/>
            <w:sz w:val="22"/>
          </w:rPr>
          <w:t>Country API</w:t>
        </w:r>
      </w:hyperlink>
      <w:r>
        <w:t>. Выгрузка 19 октября 2026 года. CC BY 4.0.</w:t>
      </w:r>
    </w:p>
    <w:p>
      <w:r>
        <w:br w:type="page"/>
      </w:r>
    </w:p>
    <w:p>
      <w:pPr>
        <w:pStyle w:val="Heading1"/>
      </w:pPr>
      <w:r>
        <w:t>Исследование пингвинов</w:t>
      </w:r>
    </w:p>
    <w:p>
      <w:pPr>
        <w:spacing w:after="100"/>
      </w:pPr>
      <w:r>
        <w:rPr>
          <w:sz w:val="20"/>
        </w:rPr>
        <w:t>Папка: 02_Исследование_пингвинов</w:t>
      </w:r>
    </w:p>
    <w:p>
      <w:pPr>
        <w:pStyle w:val="Heading2"/>
      </w:pPr>
      <w:r>
        <w:t>Состав выборки пингвинов</w:t>
      </w:r>
    </w:p>
    <w:p>
      <w:pPr>
        <w:keepNext/>
        <w:spacing w:after="60"/>
      </w:pPr>
      <w:r>
        <w:rPr>
          <w:sz w:val="20"/>
        </w:rPr>
        <w:t>03_Состав_выборки_пингвинов.json</w:t>
      </w:r>
    </w:p>
    <w:p>
      <w:r>
        <w:t>Количество пингвинов видов Adelie, Chinstrap и Gentoo, учтённых исследователями в сезонах 2007/08, 2008/09 и 2009/10. Каждая из девяти строк содержит год начала сезона, вид и число наблюдений. Данные описывают состав изученной выборки птиц.</w:t>
      </w:r>
    </w:p>
    <w:p>
      <w:pPr>
        <w:pStyle w:val="Heading2"/>
      </w:pPr>
      <w:r>
        <w:t>Измерения пингвинов</w:t>
      </w:r>
    </w:p>
    <w:p>
      <w:pPr>
        <w:keepNext/>
        <w:spacing w:after="60"/>
      </w:pPr>
      <w:r>
        <w:rPr>
          <w:sz w:val="20"/>
        </w:rPr>
        <w:t>04_Измерения_пингвинов.csv</w:t>
      </w:r>
    </w:p>
    <w:p>
      <w:r>
        <w:t>344 наблюдения пингвинов Adelie, Chinstrap и Gentoo за 2007–2009 годы. Для каждой птицы указаны вид, остров Biscoe, Dream или Torgersen, пол, год, длина и глубина клюва и длина ласта в миллиметрах, масса тела в граммах. В отдельных измерениях и поле пола есть пропуски.</w:t>
      </w:r>
    </w:p>
    <w:p>
      <w:pPr>
        <w:spacing w:before="80" w:after="40"/>
      </w:pPr>
      <w:r>
        <w:rPr>
          <w:b/>
        </w:rPr>
        <w:t>Источник</w:t>
      </w:r>
    </w:p>
    <w:p>
      <w:hyperlink r:id="rId11">
        <w:r>
          <w:rPr>
            <w:rFonts w:ascii="Arial" w:hAnsi="Arial"/>
            <w:color w:val="000000"/>
            <w:u w:val="single"/>
            <w:sz w:val="22"/>
          </w:rPr>
          <w:t>Palmer Penguins</w:t>
        </w:r>
      </w:hyperlink>
      <w:r>
        <w:t>, Palmer Station LTER, наблюдения за 2007–2009 годы. CC0.</w:t>
      </w:r>
    </w:p>
    <w:p>
      <w:pPr>
        <w:pStyle w:val="Heading1"/>
      </w:pPr>
      <w:r>
        <w:t>CO₂ в атмосфере</w:t>
      </w:r>
    </w:p>
    <w:p>
      <w:pPr>
        <w:spacing w:after="100"/>
      </w:pPr>
      <w:r>
        <w:rPr>
          <w:sz w:val="20"/>
        </w:rPr>
        <w:t>Папка: 03_CO2_в_атмосфере</w:t>
      </w:r>
    </w:p>
    <w:p>
      <w:pPr>
        <w:pStyle w:val="Heading2"/>
      </w:pPr>
      <w:r>
        <w:t>Концентрация CO₂ Mauna Loa</w:t>
      </w:r>
    </w:p>
    <w:p>
      <w:pPr>
        <w:keepNext/>
        <w:spacing w:after="60"/>
      </w:pPr>
      <w:r>
        <w:rPr>
          <w:sz w:val="20"/>
        </w:rPr>
        <w:t>07_Концентрация_CO2_Mauna_Loa.txt</w:t>
      </w:r>
    </w:p>
    <w:p>
      <w:r>
        <w:t>Среднегодовое содержание углекислого газа CO₂ в воздухе на площадке Mauna Loa за 2000–2025 годы. Файл содержит поясняющий текст и таблицу из 26 записей. В каждой записи указаны год, средняя концентрация и опубликованная оценка неопределённости годового среднего.</w:t>
      </w:r>
    </w:p>
    <w:p>
      <w:r>
        <w:t>Единица ppm — число молекул CO₂ на миллион молекул сухого воздуха. В период с декабря 2022 года по 4 июля 2023 года наблюдения в этом ряду проводились на временной площадке Maunakea.</w:t>
      </w:r>
    </w:p>
    <w:p>
      <w:pPr>
        <w:spacing w:before="80" w:after="40"/>
      </w:pPr>
      <w:r>
        <w:rPr>
          <w:b/>
        </w:rPr>
        <w:t>Источник</w:t>
      </w:r>
    </w:p>
    <w:p>
      <w:hyperlink r:id="rId12">
        <w:r>
          <w:rPr>
            <w:rFonts w:ascii="Arial" w:hAnsi="Arial"/>
            <w:color w:val="000000"/>
            <w:u w:val="single"/>
            <w:sz w:val="22"/>
          </w:rPr>
          <w:t>NOAA GML и Scripps</w:t>
        </w:r>
      </w:hyperlink>
      <w:r>
        <w:t xml:space="preserve">, </w:t>
      </w:r>
      <w:hyperlink r:id="rId13">
        <w:r>
          <w:rPr>
            <w:rFonts w:ascii="Arial" w:hAnsi="Arial"/>
            <w:color w:val="000000"/>
            <w:u w:val="single"/>
            <w:sz w:val="22"/>
          </w:rPr>
          <w:t>годовые средние CO₂ Mauna Loa</w:t>
        </w:r>
      </w:hyperlink>
      <w:r>
        <w:t>. Версия источника 9 октября 2026 года, выгрузка 19 октября 2026 года.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before="0" w:after="120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59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tacatalog.worldbank.org/search/dataset/0037712/world-development-indicators" TargetMode="External"/><Relationship Id="rId10" Type="http://schemas.openxmlformats.org/officeDocument/2006/relationships/hyperlink" Target="https://api.worldbank.org/v2/country?format=json&amp;per_page=500" TargetMode="External"/><Relationship Id="rId11" Type="http://schemas.openxmlformats.org/officeDocument/2006/relationships/hyperlink" Target="https://allisonhorst.github.io/palmerpenguins/reference/penguins.html" TargetMode="External"/><Relationship Id="rId12" Type="http://schemas.openxmlformats.org/officeDocument/2006/relationships/hyperlink" Target="https://gml.noaa.gov/ccgg/trends/data.html" TargetMode="External"/><Relationship Id="rId13" Type="http://schemas.openxmlformats.org/officeDocument/2006/relationships/hyperlink" Target="https://gml.noaa.gov/webdata/ccgg/trends/co2/co2_annmean_mlo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датасетов</dc:title>
  <dc:subject>Темы папок и содержание семи файлов данных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