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Курсовая</w:t>
      </w:r>
      <w:r>
        <w:t xml:space="preserve"> </w:t>
      </w:r>
      <w:r>
        <w:t xml:space="preserve">работа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сетевой-симулятор---ns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Сетевой симулятор - ns-2</w:t>
      </w:r>
    </w:p>
    <w:bookmarkStart w:id="20" w:name="что-такое-ns-2-и-для-чего-он-нужен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Что такое NS-2 и для чего он нужен?</w:t>
      </w:r>
    </w:p>
    <w:p>
      <w:pPr>
        <w:pStyle w:val="FirstParagraph"/>
      </w:pPr>
      <w:r>
        <w:t xml:space="preserve">NS-2 (Network simulator 2) - это симулятор дискретных событий, предназначенный для исследования сетей. NS-2 предоставляет существенную поддержку для моделирования протоколов TCP, маршрутизации и многоадресной рассылки по проводным и беспроводным (локальным и спутниковым) сетям.</w:t>
      </w:r>
    </w:p>
    <w:p>
      <w:pPr>
        <w:pStyle w:val="BodyText"/>
      </w:pPr>
      <w:r>
        <w:t xml:space="preserve">NS - самый популярный выбор симулятора, используемый в исследовательских статьях, появляющихся на избранных конференциях, таких как</w:t>
      </w:r>
      <w:r>
        <w:t xml:space="preserve"> </w:t>
      </w:r>
      <w:r>
        <w:rPr>
          <w:rStyle w:val="VerbatimChar"/>
        </w:rPr>
        <w:t xml:space="preserve">Sigcomm</w:t>
      </w:r>
      <w:r>
        <w:t xml:space="preserve">. ns постоянно поддерживается и обновляется своей большой базой пользователей и небольшой группой разработчиков в ISI.</w:t>
      </w:r>
    </w:p>
    <w:p>
      <w:pPr>
        <w:pStyle w:val="BodyText"/>
      </w:pPr>
      <w:r>
        <w:t xml:space="preserve">Сам по себе NS-2 просчитывает то, что происходит в симуляции, но для наглядности нам нужна визуализация всего процесса. Для этого был создан NAM - Network Animator. NS вместе со своим компаньоном, nam, образуют очень мощный набор инструментов для обучения концепциям сетевого взаимодействия. NS содержит все основные протоколы IP. С помощью NAM эти протоколы можно визуализировать в виде анимации.</w:t>
      </w:r>
    </w:p>
    <w:bookmarkEnd w:id="20"/>
    <w:bookmarkStart w:id="21" w:name="Xf880ac2c621f233384f19a4e927f3ffa9145620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Что мы можем сделать с помощью этих инструментов?</w:t>
      </w:r>
    </w:p>
    <w:p>
      <w:pPr>
        <w:pStyle w:val="FirstParagraph"/>
      </w:pPr>
      <w:r>
        <w:t xml:space="preserve">Создавать:</w:t>
      </w:r>
    </w:p>
    <w:p>
      <w:pPr>
        <w:numPr>
          <w:ilvl w:val="0"/>
          <w:numId w:val="1001"/>
        </w:numPr>
      </w:pPr>
      <w:r>
        <w:t xml:space="preserve">Наземные, спутниковые и беспроводные сети с различными алгоритмами маршрутизации (DV, LS, PIM-DM, PIM-SM, AODV, DSR).</w:t>
      </w:r>
    </w:p>
    <w:p>
      <w:pPr>
        <w:numPr>
          <w:ilvl w:val="0"/>
          <w:numId w:val="1001"/>
        </w:numPr>
      </w:pPr>
      <w:r>
        <w:t xml:space="preserve">Источники трафика, такие как Web, ftp, telnet, cbr, случайный трафик.</w:t>
      </w:r>
    </w:p>
    <w:p>
      <w:pPr>
        <w:numPr>
          <w:ilvl w:val="0"/>
          <w:numId w:val="1001"/>
        </w:numPr>
      </w:pPr>
      <w:r>
        <w:t xml:space="preserve">Сбои, включая детерминированные, вероятностные потери, сбой связи и т.д.</w:t>
      </w:r>
    </w:p>
    <w:p>
      <w:pPr>
        <w:numPr>
          <w:ilvl w:val="0"/>
          <w:numId w:val="1001"/>
        </w:numPr>
      </w:pPr>
      <w:r>
        <w:t xml:space="preserve">Различные дисциплины организации очередей (drop-tail, RED, FQ, SFQ, DRR и т.д.) и QoS (например, IntServ и Diffserv).</w:t>
      </w:r>
    </w:p>
    <w:p>
      <w:pPr>
        <w:pStyle w:val="FirstParagraph"/>
      </w:pPr>
      <w:r>
        <w:t xml:space="preserve">Визуализировать:</w:t>
      </w:r>
    </w:p>
    <w:p>
      <w:pPr>
        <w:numPr>
          <w:ilvl w:val="0"/>
          <w:numId w:val="1002"/>
        </w:numPr>
      </w:pPr>
      <w:r>
        <w:t xml:space="preserve">Поток пакетов, наращивание очереди и отбрасывание пакетов.</w:t>
      </w:r>
    </w:p>
    <w:p>
      <w:pPr>
        <w:numPr>
          <w:ilvl w:val="0"/>
          <w:numId w:val="1002"/>
        </w:numPr>
      </w:pPr>
      <w:r>
        <w:t xml:space="preserve">Поведение протокола: медленный запуск TCP, саморегулирование, контроль перегрузки, быстрая повторная передача и восстановление.</w:t>
      </w:r>
    </w:p>
    <w:p>
      <w:pPr>
        <w:numPr>
          <w:ilvl w:val="0"/>
          <w:numId w:val="1002"/>
        </w:numPr>
      </w:pPr>
      <w:r>
        <w:t xml:space="preserve">Перемещение узлов в беспроводных сетях.</w:t>
      </w:r>
    </w:p>
    <w:p>
      <w:pPr>
        <w:numPr>
          <w:ilvl w:val="0"/>
          <w:numId w:val="1002"/>
        </w:numPr>
      </w:pPr>
      <w:r>
        <w:t xml:space="preserve">Аннотации для освещения важных событий.</w:t>
      </w:r>
    </w:p>
    <w:p>
      <w:pPr>
        <w:numPr>
          <w:ilvl w:val="0"/>
          <w:numId w:val="1002"/>
        </w:numPr>
      </w:pPr>
      <w:r>
        <w:t xml:space="preserve">Состояние протокола (например, TCP cwnd).</w:t>
      </w:r>
    </w:p>
    <w:bookmarkEnd w:id="21"/>
    <w:bookmarkEnd w:id="22"/>
    <w:bookmarkStart w:id="26" w:name="аналог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Аналоги</w:t>
      </w:r>
    </w:p>
    <w:p>
      <w:pPr>
        <w:pStyle w:val="FirstParagraph"/>
      </w:pPr>
      <w:r>
        <w:t xml:space="preserve">Самые известные и популярные аналоги NS-2:</w:t>
      </w:r>
    </w:p>
    <w:p>
      <w:pPr>
        <w:numPr>
          <w:ilvl w:val="0"/>
          <w:numId w:val="1003"/>
        </w:numPr>
      </w:pPr>
      <w:r>
        <w:t xml:space="preserve">NS-3</w:t>
      </w:r>
    </w:p>
    <w:p>
      <w:pPr>
        <w:numPr>
          <w:ilvl w:val="0"/>
          <w:numId w:val="1003"/>
        </w:numPr>
      </w:pPr>
      <w:r>
        <w:t xml:space="preserve">Cisco Packet Tracer</w:t>
      </w:r>
    </w:p>
    <w:p>
      <w:pPr>
        <w:numPr>
          <w:ilvl w:val="0"/>
          <w:numId w:val="1003"/>
        </w:numPr>
      </w:pPr>
      <w:r>
        <w:t xml:space="preserve">MIMIC Simulator</w:t>
      </w:r>
    </w:p>
    <w:bookmarkStart w:id="23" w:name="mimic-simulato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MIMIC Simulator</w:t>
      </w:r>
    </w:p>
    <w:p>
      <w:pPr>
        <w:pStyle w:val="FirstParagraph"/>
      </w:pPr>
      <w:r>
        <w:t xml:space="preserve">MIMIC Simulator - это набор продуктов Gambit Communications, состоящий из программного обеспечения для моделирования в области управления сетями и системами.</w:t>
      </w:r>
    </w:p>
    <w:p>
      <w:pPr>
        <w:pStyle w:val="BodyText"/>
      </w:pPr>
      <w:r>
        <w:t xml:space="preserve">Пакет MIMIC Simulator Suite содержит несколько компонентов, связанных с имитацией управляемых сетей и центров обработки данных в целях разработки программного обеспечения, тестирования или обучения программного обеспечения, продаж и маркетинга приложений для управления сетями.</w:t>
      </w:r>
    </w:p>
    <w:p>
      <w:pPr>
        <w:pStyle w:val="BodyText"/>
      </w:pPr>
      <w:r>
        <w:t xml:space="preserve">MIMIC SNMP решает классическую задачу моделирования: программное обеспечение системы управления сетью или поддержки операций обычно управляет большими сетями. Традиционно для создания таких сетей для вышеуказанных целей физическое оборудование приобреталось отдельно и монтировалось в лабораториях. Чтобы снизить затраты, большая часть сети может быть смоделирована</w:t>
      </w:r>
    </w:p>
    <w:bookmarkEnd w:id="23"/>
    <w:bookmarkStart w:id="24" w:name="packet-trace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Packet Tracer</w:t>
      </w:r>
    </w:p>
    <w:p>
      <w:pPr>
        <w:pStyle w:val="FirstParagraph"/>
      </w:pPr>
      <w:r>
        <w:t xml:space="preserve">Packet Tracer - это кроссплатформенный инструмент визуального моделирования, разработанный Cisco Systems, который позволяет пользователям создавать сетевые топологии и имитировать современные компьютерные сети. Программное обеспечение позволяет пользователям моделировать конфигурацию маршрутизаторов и коммутаторов Cisco, используя имитированный интерфейс командной строки. Packet Tracer использует пользовательский интерфейс перетаскивания, позволяющий пользователям добавлять и удалять имитируемые сетевые устройства по своему усмотрению.</w:t>
      </w:r>
    </w:p>
    <w:p>
      <w:pPr>
        <w:pStyle w:val="BodyText"/>
      </w:pPr>
      <w:r>
        <w:t xml:space="preserve">Packet Tracer позволяет пользователям создавать имитированные сетевые топологии путем перетаскивания маршрутизаторов, коммутаторов и различных других типов сетевых устройств. Физическое соединение между устройствами представлено элементом</w:t>
      </w:r>
      <w:r>
        <w:t xml:space="preserve"> </w:t>
      </w:r>
      <w:r>
        <w:t xml:space="preserve">“</w:t>
      </w:r>
      <w:r>
        <w:t xml:space="preserve">кабель</w:t>
      </w:r>
      <w:r>
        <w:t xml:space="preserve">”</w:t>
      </w:r>
      <w:r>
        <w:t xml:space="preserve">. Packet Tracer поддерживает множество имитируемых протоколов прикладного уровня, а также базовую маршрутизацию с помощью RIP, OSPF, EIGRP, BGP.</w:t>
      </w:r>
    </w:p>
    <w:bookmarkEnd w:id="24"/>
    <w:bookmarkStart w:id="25" w:name="ns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NS-3</w:t>
      </w:r>
    </w:p>
    <w:p>
      <w:pPr>
        <w:pStyle w:val="FirstParagraph"/>
      </w:pPr>
      <w:r>
        <w:t xml:space="preserve">NS-3 является прямым наследником NS-2. NS-3 построен с использованием C++ и Python с возможностью написания сценариев. Библиотека NS обернута в Python благодаря библиотеке pybindgen, которая делегирует синтаксический анализ заголовков NS C++ в castxml и pygccxml для автоматической генерации соответствующего связующего элемента C++. Эти автоматически сгенерированные файлы C++ в конечном итоге компилируются в модуль NS Python, чтобы позволить пользователям взаимодействовать с моделями C++ NS и ядром с помощью скриптов Python. Симулятор NS оснащен интегрированной системой на основе атрибутов для управления значениями параметров моделирования по умолчанию и для каждого экземпляра.</w:t>
      </w:r>
    </w:p>
    <w:bookmarkEnd w:id="25"/>
    <w:bookmarkEnd w:id="26"/>
    <w:bookmarkStart w:id="38" w:name="re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RED</w:t>
      </w:r>
    </w:p>
    <w:bookmarkStart w:id="27" w:name="теоретическое-введ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RED (</w:t>
      </w:r>
      <w:r>
        <w:t xml:space="preserve">[1]</w:t>
      </w:r>
      <w:r>
        <w:t xml:space="preserve">) (Random Early Detection - Произвольное раннее обнаружение) – Алгоритм активного управления очередью для управления переполнением очередей маршрутизаторов, с возможность предотвращения перегрузок.</w:t>
      </w:r>
    </w:p>
    <w:p>
      <w:pPr>
        <w:pStyle w:val="BodyText"/>
      </w:pPr>
      <w:r>
        <w:t xml:space="preserve">Вероятность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маркировки на отбрасывание пакетов представляет собой функцию, линейно зависящую от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минимального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и максимального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пороговых значений и параметра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определяющего часть отбрасываемых пакетов при достижении средним размером очереди значения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и 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7"/>
    <w:bookmarkStart w:id="28" w:name="сравнение-с-droptai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Сравнение с DropTail</w:t>
      </w:r>
    </w:p>
    <w:p>
      <w:pPr>
        <w:pStyle w:val="FirstParagraph"/>
      </w:pPr>
      <w:r>
        <w:t xml:space="preserve">DropTail относится к пассивному типу управления очередью (PQM). Он сохраняет пакет до тех пор, пока буфер не заполнится, и когда буфер заполнится, т.е. в очереди не останется свободного места, он начинает отбрасывать каждый пакет. Существуют две возможные вероятности выпадения, т.е. 0 или 1. Вероятность отбрасывания пакета равна 0, если количество поступивших пакетов меньше количества буферизованных пакетов, и в обратном случае она будет равна 1.</w:t>
      </w:r>
    </w:p>
    <w:p>
      <w:pPr>
        <w:pStyle w:val="BodyText"/>
      </w:pPr>
      <w:r>
        <w:t xml:space="preserve">Основным отличием между RED и DropTail является то, что RED позволяет контролировать пропускную способность и более эффективно управлять трафиком, тогда как Droptail не гарантирует равномерное распределение пропускной способности. (</w:t>
      </w:r>
      <w:r>
        <w:t xml:space="preserve">[2]</w:t>
      </w:r>
      <w:r>
        <w:t xml:space="preserve">)</w:t>
      </w:r>
    </w:p>
    <w:bookmarkEnd w:id="28"/>
    <w:bookmarkStart w:id="35" w:name="разбор-алгоритм-работы-re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Разбор алгоритм работы RED</w:t>
      </w:r>
    </w:p>
    <w:p>
      <w:pPr>
        <w:pStyle w:val="FirstParagraph"/>
      </w:pPr>
      <w:r>
        <w:t xml:space="preserve">Пакет при поступлении в систему попадает в модуль сброса. Решение о сбросе пакета принимается на основе значения вероятности</w:t>
      </w:r>
      <w:r>
        <w:t xml:space="preserve"> </w:t>
      </w:r>
      <m:oMath>
        <m:r>
          <m:t>p</m:t>
        </m:r>
      </m:oMath>
      <w:r>
        <w:t xml:space="preserve">, получаемого от управляющего модуля. Вероятность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сброса пакетов зависит от экспоненциально взвешенного скользящего среднего размера длины очереди</w:t>
      </w:r>
      <w:r>
        <w:t xml:space="preserve"> </w:t>
      </w:r>
      <m:oMath>
        <m:acc>
          <m:accPr>
            <m:chr m:val="̂"/>
          </m:accPr>
          <m:e>
            <m:r>
              <m:t>q</m:t>
            </m:r>
          </m:e>
        </m:acc>
      </m:oMath>
      <w:r>
        <w:t xml:space="preserve">, также вычисляемого управляющим модулем, основы- ваясь на текущем значении длины очереди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667000" cy="1272407"/>
            <wp:effectExtent b="0" l="0" r="0" t="0"/>
            <wp:docPr descr="Модуль RED" title="" id="30" name="Picture"/>
            <a:graphic>
              <a:graphicData uri="http://schemas.openxmlformats.org/drawingml/2006/picture">
                <pic:pic>
                  <pic:nvPicPr>
                    <pic:cNvPr descr="./image/0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Модуль RED</w:t>
      </w:r>
    </w:p>
    <w:p>
      <w:pPr>
        <w:pStyle w:val="BodyText"/>
      </w:pPr>
      <w:r>
        <w:t xml:space="preserve">Вероятность потери пакета в зависимости от среднего размера очереди будет выглядеть следующим образом:</w:t>
      </w:r>
    </w:p>
    <w:p>
      <w:pPr>
        <w:pStyle w:val="CaptionedFigure"/>
      </w:pPr>
      <w:r>
        <w:drawing>
          <wp:inline>
            <wp:extent cx="2133600" cy="1838145"/>
            <wp:effectExtent b="0" l="0" r="0" t="0"/>
            <wp:docPr descr="RED" title="" id="33" name="Picture"/>
            <a:graphic>
              <a:graphicData uri="http://schemas.openxmlformats.org/drawingml/2006/picture">
                <pic:pic>
                  <pic:nvPicPr>
                    <pic:cNvPr descr="./image/0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RED</w:t>
      </w:r>
    </w:p>
    <w:bookmarkEnd w:id="35"/>
    <w:bookmarkStart w:id="36" w:name="разбор-реализации-в-ns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Разбор реализации в NS2</w:t>
      </w:r>
    </w:p>
    <w:p>
      <w:pPr>
        <w:pStyle w:val="FirstParagraph"/>
      </w:pPr>
      <w:r>
        <w:t xml:space="preserve">Файлы, связанные с RED находятся по пути</w:t>
      </w:r>
      <w:r>
        <w:t xml:space="preserve"> </w:t>
      </w:r>
      <w:r>
        <w:rPr>
          <w:rStyle w:val="VerbatimChar"/>
        </w:rPr>
        <w:t xml:space="preserve">ns-2.35/queue</w:t>
      </w:r>
      <w:r>
        <w:t xml:space="preserve">, там представлены различные реализации очередей (среди них DropTail, RED и т.д.). Для нас важны два файла: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red.h</w:t>
      </w:r>
      <w:r>
        <w:t xml:space="preserve"> </w:t>
      </w:r>
      <w:r>
        <w:t xml:space="preserve">– Заголовочный файл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red.cc</w:t>
      </w:r>
      <w:r>
        <w:t xml:space="preserve"> </w:t>
      </w:r>
      <w:r>
        <w:t xml:space="preserve">– Исходники</w:t>
      </w:r>
    </w:p>
    <w:p>
      <w:pPr>
        <w:pStyle w:val="FirstParagraph"/>
      </w:pPr>
      <w:r>
        <w:t xml:space="preserve">В файле red.cc для нас интересна функция</w:t>
      </w:r>
      <w:r>
        <w:t xml:space="preserve"> </w:t>
      </w:r>
      <w:r>
        <w:rPr>
          <w:rStyle w:val="VerbatimChar"/>
        </w:rPr>
        <w:t xml:space="preserve">REDQueue::estimator</w:t>
      </w:r>
      <w:r>
        <w:t xml:space="preserve"> </w:t>
      </w:r>
      <w:r>
        <w:t xml:space="preserve">и функция</w:t>
      </w:r>
      <w:r>
        <w:t xml:space="preserve"> </w:t>
      </w:r>
      <w:r>
        <w:rPr>
          <w:rStyle w:val="VerbatimChar"/>
        </w:rPr>
        <w:t xml:space="preserve">double REDQueue::calculate_p_new</w:t>
      </w:r>
      <w:r>
        <w:t xml:space="preserve">. Первая функция отвечает за расчет средней длины очереди. Вторая – расчитывает вероятность потери пакета.</w:t>
      </w:r>
    </w:p>
    <w:p>
      <w:pPr>
        <w:pStyle w:val="BodyText"/>
      </w:pPr>
      <w:r>
        <w:t xml:space="preserve">Разберем исходный код второй функции: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REDQueue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calculate_p_new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v_ave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gentle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v_d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max_p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gentle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Необходимо для GRED (подробнее о GRED ниже)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находится в промежутке от max_p до 1,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тогда как средний размер очереди в промежутке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q_max и 2*q_max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gentle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th_max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Превысили пороговое значение в классическом RED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приравниваем к 1</w:t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 в промежутке от 0 до max_p, тогда как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средний размер очереди в промежутке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th_min до th_max</w:t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v_a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v_ave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v_b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p = (v_ave - th_min) / (th_max - th_min)</w:t>
      </w:r>
      <w:r>
        <w:br/>
      </w:r>
      <w:r>
        <w:br/>
      </w:r>
      <w:r>
        <w:rPr>
          <w:rStyle w:val="NormalTok"/>
        </w:rPr>
        <w:t xml:space="preserve">                p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max_p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проблемы-red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Проблемы RED</w:t>
      </w:r>
    </w:p>
    <w:p>
      <w:pPr>
        <w:pStyle w:val="FirstParagraph"/>
      </w:pPr>
      <w:r>
        <w:t xml:space="preserve">Одна из фундаментальных проблем RED заключается в том, что он полагается на длину очереди в качестве показателя загруженности. Хотя наличие постоянной очереди указывает на перегрузку, ее длина дает очень мало информации о серьезности перегрузки.</w:t>
      </w:r>
    </w:p>
    <w:p>
      <w:pPr>
        <w:pStyle w:val="BodyText"/>
      </w:pPr>
      <w:r>
        <w:t xml:space="preserve">Поскольку алгоритм RED зависит от длины очереди, ему присуща проблема определения степени перегрузки. В результате RED требует широкого диапазона параметров для корректной работы в различных сценариях перегрузки. Хотя RED может достичь идеальной рабочей точки, он может сделать это только при наличии достаточного объема буферного пространства и правильных параметров.</w:t>
      </w:r>
    </w:p>
    <w:bookmarkEnd w:id="37"/>
    <w:bookmarkEnd w:id="38"/>
    <w:bookmarkStart w:id="43" w:name="wre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WRED</w:t>
      </w:r>
    </w:p>
    <w:bookmarkStart w:id="42" w:name="теоретическое-введе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WRED (Weighted random early detection - Взвешенное произвольное раннее обнаружение) – Алгоритм активного управления очередью, является расширением RED.</w:t>
      </w:r>
    </w:p>
    <w:p>
      <w:pPr>
        <w:pStyle w:val="BodyText"/>
      </w:pPr>
      <w:r>
        <w:t xml:space="preserve">Взвешенный алгоритм произвольного раннего обнаружения предоставляет различные уровни обслуживания пакетов в зависимости от вероятности их отбрасывания и обеспечивает избирательную установку параметров механизма RED на основании типа трафика.</w:t>
      </w:r>
    </w:p>
    <w:p>
      <w:pPr>
        <w:pStyle w:val="CaptionedFigure"/>
      </w:pPr>
      <w:r>
        <w:drawing>
          <wp:inline>
            <wp:extent cx="5334000" cy="2185903"/>
            <wp:effectExtent b="0" l="0" r="0" t="0"/>
            <wp:docPr descr="WRED" title="" id="40" name="Picture"/>
            <a:graphic>
              <a:graphicData uri="http://schemas.openxmlformats.org/drawingml/2006/picture">
                <pic:pic>
                  <pic:nvPicPr>
                    <pic:cNvPr descr="./image/0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WRED</w:t>
      </w:r>
    </w:p>
    <w:p>
      <w:pPr>
        <w:pStyle w:val="BodyText"/>
      </w:pPr>
      <w:r>
        <w:t xml:space="preserve">Алгоритм WRED работает с единой очередью пакетов, для которой, как и в RED, по формуле рассчитывается экспоненциально взвешенное скользящее среднее. Для каждого типа трафика задаются собственные параметры (пороговые значения, максимальный уровень сброса) и вычисляется вероятность сброса.</w:t>
      </w:r>
    </w:p>
    <w:p>
      <w:pPr>
        <w:pStyle w:val="BodyText"/>
      </w:pPr>
      <w:r>
        <w:t xml:space="preserve">Например, очереди могут иметь более низкие пороговые значения для более низких приоритетов пакета. Это приведет к отбрасыванию пакетов с низким приоритетом, а следовательно, к защите пакетов с более высоким приоритетом в той же очереди.</w:t>
      </w:r>
    </w:p>
    <w:bookmarkEnd w:id="42"/>
    <w:bookmarkEnd w:id="43"/>
    <w:bookmarkStart w:id="48" w:name="gre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GRED</w:t>
      </w:r>
    </w:p>
    <w:bookmarkStart w:id="47" w:name="теоретическое-введение-2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GRED (Gentle random early detection - мягкое/аккуратное произвольное раннее обнаружение) – Алгоритм активного управления очередью, является расширением RED.</w:t>
      </w:r>
    </w:p>
    <w:p>
      <w:pPr>
        <w:pStyle w:val="BodyText"/>
      </w:pPr>
      <w:r>
        <w:t xml:space="preserve">Gentle RED расширяет RED тем, что добавляет дополнительное максимальное пороговое значние, которое равно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, тем самым</w:t>
      </w:r>
      <w:r>
        <w:t xml:space="preserve"> </w:t>
      </w:r>
      <w:r>
        <w:t xml:space="preserve">“</w:t>
      </w:r>
      <w:r>
        <w:t xml:space="preserve">сглаживая</w:t>
      </w:r>
      <w:r>
        <w:t xml:space="preserve">”</w:t>
      </w:r>
      <w:r>
        <w:t xml:space="preserve"> </w:t>
      </w:r>
      <w:r>
        <w:t xml:space="preserve">кривую.</w:t>
      </w:r>
    </w:p>
    <w:p>
      <w:pPr>
        <w:pStyle w:val="CaptionedFigure"/>
      </w:pPr>
      <w:r>
        <w:drawing>
          <wp:inline>
            <wp:extent cx="5334000" cy="3281486"/>
            <wp:effectExtent b="0" l="0" r="0" t="0"/>
            <wp:docPr descr="GRED" title="" id="45" name="Picture"/>
            <a:graphic>
              <a:graphicData uri="http://schemas.openxmlformats.org/drawingml/2006/picture">
                <pic:pic>
                  <pic:nvPicPr>
                    <pic:cNvPr descr="./image/00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GRED</w:t>
      </w:r>
    </w:p>
    <w:p>
      <w:pPr>
        <w:pStyle w:val="BodyText"/>
      </w:pPr>
      <w:r>
        <w:t xml:space="preserve">Вычисляется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&lt;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≤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acc>
                          <m:accPr>
                            <m:chr m:val="̂"/>
                          </m:accPr>
                          <m:e>
                            <m:r>
                              <m:t>q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i</m:t>
                            </m:r>
                            <m:r>
                              <m:t>n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m</m:t>
                            </m:r>
                            <m:r>
                              <m:t>a</m:t>
                            </m:r>
                            <m:r>
                              <m:t>x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&lt;</m:t>
                    </m:r>
                    <m:r>
                      <m:t>2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r>
                          <m:t>q</m:t>
                        </m:r>
                      </m:e>
                    </m:acc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t>q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47"/>
    <w:bookmarkEnd w:id="48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0" w:name="ref-re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Floyd S., Jacobson V.</w:t>
      </w:r>
      <w:r>
        <w:t xml:space="preserve"> </w:t>
      </w:r>
      <w:hyperlink r:id="rId49">
        <w:r>
          <w:rPr>
            <w:rStyle w:val="Hyperlink"/>
          </w:rPr>
          <w:t xml:space="preserve">Jacobson, V.: Random Early Detection Gateways for Congestion Avoidance. IEEE/ACM Transactions on Networking 1, 397-413</w:t>
        </w:r>
      </w:hyperlink>
      <w:r>
        <w:t xml:space="preserve"> </w:t>
      </w:r>
      <w:r>
        <w:t xml:space="preserve">// Networking, IEEE/ACM Transactions on. 1993. Т. 1. С. 397–413.</w:t>
      </w:r>
    </w:p>
    <w:bookmarkEnd w:id="50"/>
    <w:bookmarkStart w:id="52" w:name="ref-redcomparis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Rastogi S., Zaheer H.</w:t>
      </w:r>
      <w:r>
        <w:t xml:space="preserve"> </w:t>
      </w:r>
      <w:hyperlink r:id="rId51">
        <w:r>
          <w:rPr>
            <w:rStyle w:val="Hyperlink"/>
          </w:rPr>
          <w:t xml:space="preserve">Comparative analysis of queuing mechanisms: Droptail, RED and NLRED</w:t>
        </w:r>
      </w:hyperlink>
      <w:r>
        <w:t xml:space="preserve"> </w:t>
      </w:r>
      <w:r>
        <w:t xml:space="preserve">// Social Network Analysis and Mining. 2016. Т. 6.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51" Target="https://doi.org/10.1007/s13278-016-0382-5" TargetMode="External" /><Relationship Type="http://schemas.openxmlformats.org/officeDocument/2006/relationships/hyperlink" Id="rId49" Target="https://doi.org/10.1109/90.2518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doi.org/10.1007/s13278-016-0382-5" TargetMode="External" /><Relationship Type="http://schemas.openxmlformats.org/officeDocument/2006/relationships/hyperlink" Id="rId49" Target="https://doi.org/10.1109/90.2518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Тагиев Байрам Алтай оглы</dc:creator>
  <dc:language>ru-RU</dc:language>
  <cp:keywords/>
  <dcterms:created xsi:type="dcterms:W3CDTF">2023-04-30T21:01:35Z</dcterms:created>
  <dcterms:modified xsi:type="dcterms:W3CDTF">2023-04-30T21:01:35Z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