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微软雅黑"/>
          <w:b/>
          <w:color w:val="000000"/>
          <w:sz w:val="40"/>
        </w:rPr>
        <w:t>实验4 静态分析实验报告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实验日期：2026年10月11日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1 实验目的与测试范围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本次使用SpotBugs和Alibaba Java Coding Guidelines检查后端代码，核查告警，并在相同范围复查。阿里规约检查覆盖72个Java源文件，结果为0项告警；SpotBugs分析73个编译类，发现15项告警。逐项核查后，13项判为当前框架场景下的误报，2项作为共享组件的设计风险保留，本轮未确认需要修改的源码缺陷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分析范围为后端正式代码，不包含单元测试、前端、小程序或依赖库本身。现有FindBugs分析及此前规约修正结果用于追溯，与本次结果分开统计。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2 工具与扫描结果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SpotBugs使用官方4.10.4发行包，由JDK 17直接运行。后端通过Maven 3.9.9重新编译，清除旧类残留后得到73个类。扫描启用最大分析强度并报告所有优先级，提供项目实际依赖作为辅助类路径。初次扫描与复查均无分析错误和缺失类，没有修改工具或添加告警排除规则。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Alibaba Java Coding Guidelines使用阿里官方P3C PMD规则2.1.1，配合PMD 6.55.0解析Java 17源码，启用异常、注释、命名、集合、并发等十组规则。本次使用官方PMD实现，结果不代表IDE插件的附加检查或整部开发手册均已覆盖。消息资源仅补充XML格式声明，规则实现保持原样；扫描日志仍有DFA迭代提示，XML未记录处理错误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/>
        </w:trP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工具</w:t>
            </w:r>
          </w:p>
        </w:tc>
        <w:tc>
          <w:tcPr>
            <w:tcW w:type="dxa" w:w="2778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分析范围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初次告警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复查告警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SpotBugs 4.10.4</w:t>
            </w:r>
          </w:p>
        </w:tc>
        <w:tc>
          <w:tcPr>
            <w:tcW w:type="dxa" w:w="2778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73个编译类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15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Alibaba Java Coding Guidelines</w:t>
            </w:r>
          </w:p>
        </w:tc>
        <w:tc>
          <w:tcPr>
            <w:tcW w:type="dxa" w:w="2778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72个源文件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70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</w:tr>
    </w:tbl>
    <w:p/>
    <w:p>
      <w:pPr/>
      <w:r>
        <w:rPr>
          <w:rFonts w:ascii="Times New Roman" w:hAnsi="Times New Roman" w:eastAsia="微软雅黑"/>
          <w:b w:val="0"/>
          <w:color w:val="000000"/>
          <w:sz w:val="22"/>
        </w:rPr>
        <w:t>告警数量与人工确认的缺陷数量分别记录。复查的15项仍是原有共享依赖告警；本轮保留源码和设计，不将其写成已经消除的缺陷。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40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Bugs检测结果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微软雅黑"/>
          <w:b w:val="0"/>
          <w:color w:val="000000"/>
          <w:sz w:val="18"/>
        </w:rPr>
        <w:t>图1 SpotBugs原生HTML报告中的版本、分析范围和告警统计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3 SpotBugs告警核查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15项告警均为EI_EXPOSE_REP2，即构造器保存外部可变对象引用。判定时结合依赖来源、字段访问范围、对象用途及配置修改位置，而非仅依据告警名称。结果如下。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/>
        </w:trP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位置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数量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人工判断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  <w:shd w:fill="DCE6F1"/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处理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WebConfig的拦截器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框架场景误报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保留Spring注入与MVC注册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ReportServiceImpl的Mapper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框架场景误报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保留MyBatis代理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TraceServiceImpl的Mapper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框架场景误报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保留MyBatis代理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MesShiroRealm的Mapper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框架场景误报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保留Bean工厂注入</w:t>
            </w:r>
          </w:p>
        </w:tc>
      </w:tr>
      <w:tr>
        <w:tc>
          <w:tcPr>
            <w:tcW w:type="dxa" w:w="3005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AuthSessionService的共享组件</w:t>
            </w:r>
          </w:p>
        </w:tc>
        <w:tc>
          <w:tcPr>
            <w:tcW w:type="dxa" w:w="79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  <w:jc w:val="center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2324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设计风险保留</w:t>
            </w:r>
          </w:p>
        </w:tc>
        <w:tc>
          <w:tcPr>
            <w:tcW w:type="dxa" w:w="3061"/>
            <w:vAlign w:val="center"/>
            <w:tcBorders>
              <w:top w:val="single" w:color="D9D9D9" w:sz="4"/>
              <w:bottom w:val="single" w:color="D9D9D9" w:sz="4"/>
              <w:left w:val="single" w:color="D9D9D9" w:sz="4"/>
              <w:right w:val="single" w:color="D9D9D9" w:sz="4"/>
            </w:tcBorders>
          </w:tcPr>
          <w:p>
            <w:pPr>
              <w:spacing w:before="80" w:after="8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维持初始化后配置稳定</w:t>
            </w:r>
          </w:p>
        </w:tc>
      </w:tr>
    </w:tbl>
    <w:p/>
    <w:p>
      <w:pPr/>
      <w:r>
        <w:rPr>
          <w:rFonts w:ascii="Times New Roman" w:hAnsi="Times New Roman" w:eastAsia="微软雅黑"/>
          <w:b w:val="0"/>
          <w:color w:val="000000"/>
          <w:sz w:val="22"/>
        </w:rPr>
        <w:t>前13项保存的是容器管理的协作对象，字段均为private final，未发现对外返回这些依赖的接口。Mapper本身是数据库代理，拦截器须注册到MVC；复制这些对象不符合现有框架协作方式。因此在当前项目使用场景下判为误报，不据此改变构造器注入。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另外2项涉及ObjectMapper和StringRedisTemplate。项目使用它们进行JSON转换和Redis数据访问，未发现运行期重新配置连接工厂、序列化器或JSON规则的调用，但对象共享与配置可变性客观存在。因此这2项不计为误报，保留当前设计风险：组件应在初始化时完成配置，开始处理请求后不得随意重配置。若后续增加动态配置功能，应重新评估并明确隔离方式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误报率按“误报数除以已核查告警数”计算，为13/15=86.7%；设计风险为2项，确认需要修复的源码缺陷为0项。该比例仅针对本次EI_EXPOSE_REP2告警，不表示SpotBugs整体准确率。阿里规约未产生告警，误报率不适用。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4 历史修正与结果衔接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此前阿里规约扫描发现208项不符合，涉及接口Javadoc、作者标注、常量、集合容量和方法长度；完成修正后复查为0项。本次重新扫描仍为0项，说明当前代码在同一组已启用规则下保持原有结果。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2026年10月8日的FindBugs兼容分析覆盖73个类，发现8项告警，修正7项后复查剩1项编译器生成代码误报；同日96项既有单元测试全部通过。本次SpotBugs使用官方发行包直接分析Java 17，不沿用FindBugs工具适配。两种工具的检测实现与告警类型不同，不能把告警总数变化直接解释为代码质量退步。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本轮没有修改业务源码，没有重新执行单元测试或采集覆盖率。上述96项通过仅作为10月8日的历史回归结果。</w:t>
      </w:r>
    </w:p>
    <w:p>
      <w:pPr>
        <w:keepNext/>
        <w:spacing w:before="180"/>
      </w:pPr>
      <w:r>
        <w:rPr>
          <w:rFonts w:ascii="Times New Roman" w:hAnsi="Times New Roman" w:eastAsia="微软雅黑"/>
          <w:b/>
          <w:color w:val="000000"/>
          <w:sz w:val="26"/>
        </w:rPr>
        <w:t>5 实验总结</w:t>
      </w:r>
    </w:p>
    <w:p>
      <w:pPr/>
      <w:r>
        <w:rPr>
          <w:rFonts w:ascii="Times New Roman" w:hAnsi="Times New Roman" w:eastAsia="微软雅黑"/>
          <w:b w:val="0"/>
          <w:color w:val="000000"/>
          <w:sz w:val="22"/>
        </w:rPr>
        <w:t>两种工具的扫描和人工核查均已完成，原始告警、逐项依据和同范围复查结果已留存。阿里规约检查未发现新的不符合项；SpotBugs提示的共享依赖风险结合框架设计作出区分，未通过批量复制对象或隐藏告警获取零告警结果。结论限于本次正式后端代码和已启用规则，不能据此认定整个系统没有缺陷。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