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Times New Roman" w:hAnsi="Times New Roman" w:eastAsia="微软雅黑" w:cs="Times New Roman"/>
          <w:b/>
          <w:color w:val="17365D"/>
          <w:sz w:val="44"/>
        </w:rPr>
        <w:t>Keyboard MES 系统测试计划</w:t>
      </w:r>
    </w:p>
    <w:p>
      <w:pPr>
        <w:spacing w:after="60"/>
        <w:jc w:val="center"/>
      </w:pPr>
      <w:r>
        <w:rPr>
          <w:rFonts w:ascii="Times New Roman" w:hAnsi="Times New Roman" w:eastAsia="微软雅黑" w:cs="Times New Roman"/>
          <w:b w:val="0"/>
          <w:color w:val="526273"/>
          <w:sz w:val="21"/>
        </w:rPr>
        <w:t>课程：软件测试与质量保证　　实验：上机2 软件测试管理　　项目：第22组</w:t>
      </w:r>
    </w:p>
    <w:p>
      <w:pPr>
        <w:spacing w:after="60"/>
        <w:jc w:val="center"/>
      </w:pPr>
      <w:r>
        <w:rPr>
          <w:rFonts w:ascii="Times New Roman" w:hAnsi="Times New Roman" w:eastAsia="微软雅黑" w:cs="Times New Roman"/>
          <w:b w:val="0"/>
          <w:color w:val="526273"/>
          <w:sz w:val="21"/>
        </w:rPr>
        <w:t>TestLink 执行基线：Keyboard MES 系统测试计划 v1.0　/　计划 ID 108　/　构建 LAB2-B01</w:t>
      </w:r>
    </w:p>
    <w:p>
      <w:pPr>
        <w:spacing w:after="60"/>
        <w:jc w:val="center"/>
      </w:pPr>
      <w:r>
        <w:rPr>
          <w:rFonts w:ascii="Times New Roman" w:hAnsi="Times New Roman" w:eastAsia="微软雅黑" w:cs="Times New Roman"/>
          <w:b w:val="0"/>
          <w:color w:val="526273"/>
          <w:sz w:val="21"/>
        </w:rPr>
        <w:t>文档修订：v1.1　　修订日期：2026年9月29日　　被测系统：Keyboard MES 键盘装配制造执行系统</w:t>
      </w:r>
    </w:p>
    <w:p>
      <w:pPr>
        <w:spacing w:after="0"/>
      </w:pPr>
    </w:p>
    <w:p>
      <w:pPr>
        <w:spacing w:before="20" w:after="60"/>
      </w:pPr>
      <w:r>
        <w:rPr>
          <w:rFonts w:ascii="Times New Roman" w:hAnsi="Times New Roman" w:eastAsia="微软雅黑" w:cs="Times New Roman"/>
          <w:b/>
          <w:color w:val="17365D"/>
          <w:sz w:val="20"/>
        </w:rPr>
        <w:t>小组成员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042"/>
        <w:gridCol w:w="5390"/>
      </w:tblGrid>
      <w:tr>
        <w:trPr>
          <w:cantSplit/>
          <w:tblHeader w:val="true"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学号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乔通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2407020419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李政良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2407020415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昝泓志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2407020416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徐西岳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2407020417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王佳欣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2407020407</w:t>
            </w:r>
          </w:p>
        </w:tc>
      </w:tr>
    </w:tbl>
    <w:p>
      <w:pPr>
        <w:spacing w:after="20" w:before="0"/>
      </w:pPr>
    </w:p>
    <w:p>
      <w:pPr>
        <w:spacing w:after="0"/>
      </w:pPr>
    </w:p>
    <w:p>
      <w:pPr>
        <w:pStyle w:val="Heading1"/>
      </w:pPr>
      <w:r>
        <w:t>1 目的和依据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本计划规定键盘生产制造系统的测试范围、方法、环境、人员职责、进度、准入退出条件和测试管理方式。以工单、任务、报工、检验、返修、复检和SN追溯为主线，验证功能正确性、岗位权限及上机1提出的质量目标。计划覆盖12项功能需求和40项质量子特性，实际执行结果在系统测试报告中汇总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课程安排第3页要求从TestLink与TestCenter中任选其一，并制定项目系统测试计划。本实验选择TestLink。此次文档修订参考教材3.4节的软件质量保证活动和附录B“出差管理系统系统测试计划”案例，补足计划的文档介绍、系统说明、测试组织与进度、风险、工具和交付物，并将评审、验证与确认、纠正预防、质量控制、度量分析及配置管理纳入计划。教材案例中的业务功能、工具、资源规格和数值阈值不直接移植为Keyboard MES的事实或要求。LAB2-B01实际执行仍以TestLink计划v1.0为基线；本次复核不追溯修改原执行准则。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依据材料包括：整体上机课程安排.pptx第3页；上机2 软件测试管理工具TestLink(1).docx；program/docs/requirements/需求规约.docx第1至7章；上机1 键盘MES软件质量需求分析.md；项目说明.md、API接口文档.md、项目验收与功能冻结说明.md；以及《教材3.4节与测试计划案例总结.md》中整理的教材第3章3.4节和附录B案例。功能范围以需求规约为准，新增质量指标取自上机1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术语：FR表示功能需求；FS、PE、CO、IN、RE、SE、MA、FL、SA分别表示功能适用性、性能效率、兼容性、交互性、可靠性、安全性、可维护性、灵活性和保护性需求类别。PASS、FAIL、BLOCKED分别表示通过、失败和阻塞；BLOCKED不计为执行完成或通过。</w:t>
      </w:r>
    </w:p>
    <w:p>
      <w:pPr>
        <w:pStyle w:val="Heading2"/>
      </w:pPr>
      <w:r>
        <w:t>1.1 参考案例结构映射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0"/>
        <w:gridCol w:w="3026"/>
        <w:gridCol w:w="4486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教材附录B计划内容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本计划对应位置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本项目适配方式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文档介绍、项目名称、目的、背景、参考资料、术语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第1节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说明Keyboard MES背景、计划用途、版本基线和资料来源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系统描述、测试目标与范围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第2节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按Web、小程序、后端、数据库及业务闭环说明测试对象、目标与排除项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测试策略、数据、通过/失败标准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第3、6、9节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使用MES业务边界、隔离数据和原计划退出门槛；不套用案例数值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测试组织与进度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第7节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列出真实小组成员和现存进度；未记录的个人分工、工时不补造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风险、测试环境、辅助工具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第4、5、10节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采用实际本机环境、TestLink及隔离库，标明当前服务状态和限制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测试结束交付物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第11节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汇总计划、用例、矩阵、导入文件、报告和当前待补测项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质量保证活动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第12节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把教材3.4节要求映射到评审、V&amp;V、CAPA、质量控制、度量和配置管理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t>2 系统描述、测试目标与范围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Keyboard MES用于键盘装配生产过程管理，覆盖基础资料、生产工单、工序任务、现场报工、质量检验、返修复检、序列号追溯和统计报表。系统由Vue Web管理端、微信小程序现场端、Spring Boot后端以及MySQL和Redis组成；管理员、计划员、操作员、质检员和返修员按岗位权限协同完成生产闭环。系统测试关注前端操作、接口行为、数据持久化和跨模块状态联动的一致性。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测试目标是验证需求规约及上机1质量需求在本次隔离环境和实际执行范围内的符合情况，检查关键业务规则、权限边界、错误处理、性能及质量专项；对尚不具备测试条件的项目明确记录阻塞原因，不外推为已满足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测试对象是Vue Web管理端、微信小程序现场端、Spring Boot服务及其MySQL、Redis集成行为。受测角色包括管理员、计划员、操作员、质检员、返修员。受测数据为10张核心业务表。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0"/>
        <w:gridCol w:w="3026"/>
        <w:gridCol w:w="4486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FR-01至FR-02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登录会话和岗位权限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有效登录、退出失效、直接接口越权、动作级权限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FR-03至FR-05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基础资料、工单和任务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编号唯一、有效关联、路线型号版本匹配、重复生成、状态转换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FR-06至FR-08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报工、检验、返修和复检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数量守恒、超量拒绝、重复提交、质量闭环、禁止误放行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FR-09至FR-10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SN追溯和统计报表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跨SN隔离、履历完整、有效记录过滤、周期边界和零分母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FR-11至FR-12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多端应用和通用维护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共享契约、岗位轻量流程、字段一致、外键保护</w:t>
            </w:r>
          </w:p>
        </w:tc>
      </w:tr>
    </w:tbl>
    <w:p>
      <w:pPr>
        <w:spacing w:after="20" w:before="0"/>
      </w:pP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质量专项覆盖功能适用性、性能效率、兼容性、交互性、可靠性、安全性、可维护性、灵活性、保护性共9个特性、40个子特性。范围映射见需求追踪矩阵。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不测试真实ERP、PLC、实体检测设备、安全联锁及未实现的业务模块。不在本次实验中扩展产品功能。JUnit覆盖、静态扫描和接口工具实践属于后续实验，可作为系统测试证据来源，但不得替代系统级验证。</w:t>
      </w:r>
    </w:p>
    <w:p>
      <w:pPr>
        <w:pStyle w:val="Heading1"/>
      </w:pPr>
      <w:r>
        <w:t>3 测试策略和设计方法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先进行环境检查及登录、查询冒烟，再执行生产质量闭环的正常路径，随后验证边界、非法输入、重复请求和越权，最后开展专项测试及缺陷回归。</w:t>
      </w:r>
    </w:p>
    <w:p>
      <w:pPr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1644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pla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64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Times New Roman" w:hAnsi="Times New Roman" w:eastAsia="微软雅黑" w:cs="Times New Roman"/>
          <w:color w:val="526273"/>
          <w:sz w:val="18"/>
        </w:rPr>
        <w:t>图1　系统测试计划编制与实施流程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功能测试采用等价类、边界值、状态转换和场景法。以计划100、已完成60的任务为例，剩余40应允许，41应拒绝；合格数和不良数之和不等于报工数时应拒绝。状态测试分别覆盖待维修、待复检、复检通过、复检失败和报废，不能只验证按钮可点击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使用独立数据核对作为判定依据：请求响应、数据库记录、页面状态、报表结果应相互一致。非法请求核查没有部分写入。报表以独立SQL按status=1、Asia/Shanghai时区和左闭右开周期计算；不能以服务端返回值本身作为预期值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本版设计36项功能场景和40项质量专项规程，共76项条目。每项质量规程可以包含多次注入、多名用户或多个设备，需保存子检查记录。设计覆盖52/52不表示所有路径穷尽，更不表示测试通过率100%。</w:t>
      </w:r>
    </w:p>
    <w:p>
      <w:pPr>
        <w:pStyle w:val="Heading1"/>
      </w:pPr>
      <w:r>
        <w:t>4 测试环境和数据</w:t>
      </w:r>
    </w:p>
    <w:p>
      <w:pPr>
        <w:pStyle w:val="Heading2"/>
      </w:pPr>
      <w:r>
        <w:t>4.1 本地工具环境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LAB2-B01执行记录使用Windows 11、JDK 17、Spring Boot（Maven）、Vue 3 + Vite、MySQL 8.4.3和Redis 5.0.14。MES隔离数据库为keyboard_mes_lab2；测试管理环境为TestLink 1.9.20 fixed，运行于XAMPP Apache 2.4.58、PHP 8.2.12，访问端口8080，数据库为独立的testlink_lab2。测试报告记录了执行时服务端口和环境配置。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当前安装目录为D:/XAMPP/htdocs/testlink-lab2。旧目录testlink-1.9.0曾因PHP 8兼容问题无法使用，后续已完成兼容版本安装和TestLink项目管理验证。TestLink已导入52项需求和76项用例，计划ID=108，构建LAB2-B01。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截至2026年9月23日的交接记录，MES后端、Redis和前端已关闭，MySQL保留；不得假定服务仍在运行。后续复现前重新执行环境检查并登记实际操作系统、依赖版本、浏览器/真机、代码提交号、数据快照和端口状态。当前报告没有记录MES代码提交号，因此不能仅凭TestLink版本号替代被测软件的代码基线。</w:t>
      </w:r>
    </w:p>
    <w:p>
      <w:pPr>
        <w:pStyle w:val="Heading2"/>
      </w:pPr>
      <w:r>
        <w:t>4.2 数据隔离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业务写入测试使用独立keyboard_mes_lab2数据库，通过DB_NAME等配置启动隔离后端。禁止对已有业务库运行reset_rich_mock_data.sql。数据初始化前确认数据库名称及已有对象；为测试数据使用LAB2前缀，保留初始化脚本、基线导出和清理记录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准备五个角色账号、两个型号、启用和停用路线、数量边界任务、两个同工单不同SN、完整返修链路，以及跨周跨月和无有效报工的报表数据。管理员、计划员、操作员、质检员、返修员对应项目演示工号U001、U002、U003、U005、U007，仅在隔离环境使用。</w:t>
      </w:r>
    </w:p>
    <w:p>
      <w:pPr>
        <w:pStyle w:val="Heading2"/>
      </w:pPr>
      <w:r>
        <w:t>4.3 性能和可靠性基线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沿用上机1：服务端4 vCPU、8GB内存、100GB SSD；独立发压端，网络往返不超过10ms。基线100用户、100型号、500物料、1万工单、5万任务、10万报工、2万检验、5000返修，关联有效。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常规负载50虚拟用户、30请求每秒，查询65%、登录5%、业务写入20%、报表10%；预热5分钟后采样30分钟。登录、任务查询、报工和质检P95不超过2秒，追溯与报表P95不超过3秒，成功吞吐量至少29.85请求每秒，系统错误率不超过0.5%。非法输入单独统计。达不到基线时，只报告实际条件下结果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峰值100虚拟用户、50请求每秒持续10分钟，P95不超过5秒，错误率不超过1%。资源利用率、2小时内存观察、1万次合法操作、每类20次故障注入、3次恢复演练等详见质量规程。可用性需观察22个工作日共176小时，目标99.5%；短时实验不能替代该结论。10名用户评估和Android/iOS真机验证均需实际人员与设备，不用模拟评分替代。</w:t>
      </w:r>
    </w:p>
    <w:p>
      <w:pPr>
        <w:pStyle w:val="Heading1"/>
      </w:pPr>
      <w:r>
        <w:t>5 TestLink管理方案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建立项目“Keyboard MES 系统测试”，前缀KMES，启用产品需求。建立需求规格“Keyboard MES 系统测试需求”，导入52项需求，状态设为草案，评审后再更新状态。需求的“需要的测试用例数”按实际关联用例数设置，不是子需求个数。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导入“功能测试”和“质量专项”两个用例集，按需求文档标识建立覆盖。新建计划“Keyboard MES 系统测试计划 v1.0”和构建版本“LAB2-B01”，构建说明中填写实际代码与环境基线。将本轮可执行用例加入计划并分配执行人。条件未满足的专项记录为阻塞，并说明原因和所需条件。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执行状态使用通过、失败、阻塞、尚未执行。只有实际运行且所有断言符合预期才标记通过；产品行为与预期不符标记失败；环境或前置依赖阻止执行时标记阻塞并记录原因；尚未尝试的条目维持尚未执行。修复后建立LAB2-B02，保留B01结果以便比较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XML已在本机TestLink 1.9.20 fixed中完成导入验证：52项需求、76项用例均已导入，需求关联已核对。TestLink计划ID=108、构建LAB2-B01。执行报告未留存MES代码提交号；后续复现实验须在构建说明中补录MES仓库提交及工作区差异，不能用TestLink源码提交号代替。导入步骤、命名约束及环境问题记录见</w:t>
      </w:r>
      <w:r>
        <w:rPr>
          <w:rFonts w:ascii="Times New Roman" w:hAnsi="Times New Roman" w:eastAsia="微软雅黑" w:cs="Times New Roman"/>
          <w:b w:val="0"/>
          <w:color w:val="2F75B5"/>
          <w:sz w:val="21"/>
        </w:rPr>
        <w:t>操作指南</w:t>
      </w:r>
      <w:r>
        <w:rPr>
          <w:rFonts w:ascii="Times New Roman" w:hAnsi="Times New Roman" w:eastAsia="微软雅黑" w:cs="Times New Roman"/>
          <w:b w:val="0"/>
          <w:color w:val="243447"/>
          <w:sz w:val="21"/>
        </w:rPr>
        <w:t>。</w:t>
      </w:r>
    </w:p>
    <w:p>
      <w:pPr>
        <w:pStyle w:val="Heading1"/>
      </w:pPr>
      <w:r>
        <w:t>6 准入 暂停 恢复和退出条件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准入：需求和测试计划完成评审；受测代码基线固定；隔离数据库与账号准备好；MySQL、Redis和应用可用；登录、查询冒烟通过；测试人员能够获取日志和执行证据。TestLink不可用不妨碍独立设计，但工具操作部分不能验收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暂停：出现数据污染、无法登录、关键依赖中断、阻断主流程或版本漂移时暂停受影响用例；保留日志和当前快照，登记问题。恢复：原因消除，环境和数据重新确认，冒烟通过；明确哪些用例必须重跑。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课程实验2材料完成条件：系统测试计划、需求、用例和追踪矩阵一致；TestLink项目、计划、构建及覆盖可核对；实际操作结果和报告可查。当前材料已形成这些交付物，但17项用例仍为BLOCKED，且未发现正式评审签字或会议纪要。状态记录齐全不等于测试退出准则已满足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LAB2-B01原退出目标为：高优先级用例全部执行且通过；全部纳入用例执行率100%；总通过率至少95%；严重和致命缺陷为0；剩余问题有影响说明和评审处理意见。执行率按(PASS+FAIL)/计划用例总数计算，BLOCKED和尚未执行均不计完成。该基线不因执行后的文档修订而变更。实际结果为59/76=77.6%，17项BLOCKED；高优先级49项中46项PASS、3项BLOCKED；三个高严重度缺陷已修复并回归通过。因此用例执行率、总通过率和高优先级全通过三项条件未满足，测试实施有记录但未达到整体退出门槛。</w:t>
      </w:r>
    </w:p>
    <w:p>
      <w:pPr>
        <w:pStyle w:val="Heading1"/>
      </w:pPr>
      <w:r>
        <w:t>7 人员职责和进度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小组成员信息依据实验1报告核对。实验2报告的执行主体记录为“实验小组”；现存材料没有将个人姓名对应到具体职责、工时或审批签字，故保留团队级责任，不推定个人分工。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0"/>
        <w:gridCol w:w="3026"/>
        <w:gridCol w:w="4486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学号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实验2记录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乔通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2407020419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实验小组成员；个人任务分配未留存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李政良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2407020415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实验小组成员；个人任务分配未留存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昝泓志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2407020416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实验小组成员；个人任务分配未留存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徐西岳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2407020417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实验小组成员；个人任务分配未留存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王佳欣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2407020407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实验小组成员；个人任务分配未留存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0"/>
        <w:gridCol w:w="3026"/>
        <w:gridCol w:w="4486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本次记录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测试负责人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协调范围、进度、风险及退出评估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由小组承担；个人指派未留存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测试设计与执行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需求拆分、用例设计、执行及结果记录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由小组承担；个人指派未留存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环境与开发支持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隔离环境、日志、缺陷定位修复及版本交付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由小组协作完成；个人指派未留存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复核人员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复核预期、实际结果、覆盖及报告一致性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本次形成文档交叉核对；正式签字记录未留存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0"/>
        <w:gridCol w:w="3026"/>
        <w:gridCol w:w="4486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工作阶段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时间依据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实际状态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计划与测试材料准备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计划文件日期2026-09-15；实际工时未记录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已形成计划、用例、追踪矩阵和TestLink导入文件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TestLink项目、需求、用例、计划和构建配置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具体操作工时未记录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已完成；计划ID=108，构建LAB2-B01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隔离环境执行、缺陷修复与回归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测试报告记录执行日2026-09-22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已执行；3项高严重度缺陷修复，5项关联用例回归通过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F线脚本补测和结果汇总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统计截至2026-09-23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20项原BLOCKED转PASS，最终为59 PASS / 0 FAIL / 17 BLOCKED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17项专项补测及计划退出评估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尚无实际日期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因条件不足未完成；原计划整体退出门槛未满足</w:t>
            </w:r>
          </w:p>
        </w:tc>
      </w:tr>
    </w:tbl>
    <w:p>
      <w:pPr>
        <w:spacing w:after="20" w:before="0"/>
      </w:pP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未留存的小时数、个人分工和签字不追填为实际值。后续若补测，应在新的构建及执行记录中登记负责人、实际日期、代码基线和复核人。</w:t>
      </w:r>
    </w:p>
    <w:p>
      <w:pPr>
        <w:pStyle w:val="Heading1"/>
      </w:pPr>
      <w:r>
        <w:t>8 缺陷管理和回归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缺陷记录包括编号、标题、版本、环境、需求与用例编号、前置数据、复现步骤、预期与实际、截图或日志、严重程度、优先级、负责人、状态及复测结果。证据隐去账号密码和会话凭据。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致命缺陷指系统不可用或造成大范围数据破坏；严重缺陷指越权、质量误放行、核心数量或追溯错误；一般缺陷指有替代方式的局部异常；轻微缺陷为不影响任务完成的文案和显示问题。严重程度与修复优先级分别记录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状态流转为新建、确认、修复中、待复测、关闭；复测不通过重新打开。修复数量规则时回归报工、工单任务联动、质检、追溯和报表；修复权限时检查五类角色及直接接口；修复日期时回归周月边界。不用修改测试预期掩盖产品缺陷。</w:t>
      </w:r>
    </w:p>
    <w:p>
      <w:pPr>
        <w:pStyle w:val="Heading1"/>
      </w:pPr>
      <w:r>
        <w:t>9 度量和报告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需求设计覆盖率为至少关联一条有效用例的需求数除以纳入需求数。状态记录覆盖率为TestLink中具有明确状态的用例数除以计划用例数；该指标不能称作执行率。执行完成率为(PASS+FAIL)/计划用例数，BLOCKED和尚未执行不计完成；总通过率为PASS/计划用例数，已完成用例通过率为PASS/(PASS+FAIL)。报告分别列出通过、失败、阻塞和尚未执行数量，明确分母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性能按接口分别报告P95、成功吞吐量、系统错误率和实际数据规模。缺陷统计按严重程度及状态输出。报告包含版本、范围、实际环境、数据、执行汇总、缺陷、风险、未执行项及证据索引。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执行结果已记录于</w:t>
      </w:r>
      <w:r>
        <w:rPr>
          <w:rFonts w:ascii="Times New Roman" w:hAnsi="Times New Roman" w:eastAsia="微软雅黑" w:cs="Times New Roman"/>
          <w:b w:val="0"/>
          <w:color w:val="2F75B5"/>
          <w:sz w:val="21"/>
        </w:rPr>
        <w:t>系统测试报告</w:t>
      </w:r>
      <w:r>
        <w:rPr>
          <w:rFonts w:ascii="Times New Roman" w:hAnsi="Times New Roman" w:eastAsia="微软雅黑" w:cs="Times New Roman"/>
          <w:b w:val="0"/>
          <w:color w:val="243447"/>
          <w:sz w:val="21"/>
        </w:rPr>
        <w:t>：状态记录覆盖率76/76=100%，但执行完成率为59/76=77.6%；59项已完成用例全部PASS，0 FAIL，17 BLOCKED。功能用例33/36=91.7%，质量专项26/40=65.0%，高优先级用例46/49通过。需求追踪覆盖52/52=100%。依据原退出门槛，本轮未通过整体测试退出评估；阻塞原因与后续条件见报告第5章。</w:t>
      </w:r>
    </w:p>
    <w:p>
      <w:pPr>
        <w:pStyle w:val="Heading1"/>
      </w:pPr>
      <w:r>
        <w:t>10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0"/>
        <w:gridCol w:w="3026"/>
        <w:gridCol w:w="4486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TestLink旧版与PHP不兼容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无法安装或进入管理流程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使用匹配运行环境或经确认的兼容版本；保留原文件与配置备份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数据库权限及现有业务数据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无法初始化或误改已有数据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使用专用测试库和账号；初始化前核对，保留快照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环境容量不足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性能结论不具代表性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如实记录偏差，不套用标准基线结论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专项需要人员、真机和长周期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无法一次课内完成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单独排期并记录未执行原因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计划门槛与状态口径混淆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可能把有状态记录误写成已执行或整体通过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按原v1.0门槛分别报告状态记录覆盖、执行完成和总通过率；计划变更须记录审批和影响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新质量目标超出现有实现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专项不达标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按需求证据报告差距，不用历史验收替代新目标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t>11 交付清单与当前状态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已完成并归档：系统测试计划（Word正式版及本正文源）、系统测试用例、需求追踪矩阵、需求及用例XML、操作指南、TestLink需求与用例导入、计划和构建创建、隔离MES环境执行、缺陷修复与回归记录、系统测试报告和实验2实验报告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当前结果：52项需求均有用例关联；76项均有状态记录，其中59 PASS、0 FAIL、17 BLOCKED。3项高严重度缺陷已修复，5项关联用例回归通过。整体退出门槛未满足：执行完成率和总通过率均为77.6%，低于原计划要求；49项高优先级用例中3项阻塞。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待完成事项：为17项BLOCKED用例准备专项条件并补测，补充MES代码版本和测试基线记录；正式评审时记录评审意见、责任人及签字，完成补测后重新评估退出条件。</w:t>
      </w:r>
    </w:p>
    <w:p>
      <w:pPr>
        <w:pStyle w:val="Heading1"/>
      </w:pPr>
      <w:r>
        <w:t>12 教材3.4节质量保证活动与配置管理落实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教材3.4节提出软件评审、验证与确认、纠正和预防措施、软件质量控制（测试、审计、度量分析）及软件配置管理。本节记录这些活动如何落入本实验，并区分现有执行事实和未留存事项。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0"/>
        <w:gridCol w:w="3026"/>
        <w:gridCol w:w="4486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教材活动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本实验的控制点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当前状态及记录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软件评审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对需求、计划、用例、追踪矩阵、导入文件及最终报告核对完整性、编号、关联和统计一致性；评审发现应记录意见、责任人和处理结果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本次修订完成跨文档一致性核对；未发现正式同行评审/评审会议纪要及小组签字，不能记为正式评审已通过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验证与确认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验证材料和计划是否符合需求及相互一致；通过系统测试确认集成产品是否满足业务要求；按准备、执行、评估、改进闭环留存结果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52项需求与76项用例的追踪关系已核对；系统测试59 PASS、0 FAIL、17 BLOCKED。由于退出门槛未满足且17项受限，确认范围只覆盖已执行项目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纠正与预防（CAPA）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缺陷登记、根因定位、修复、关联用例回归；将规则缺口转为后续评审清单和回归用例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BUG-001至BUG-003已修复，5项关联用例回归通过。建议后续持续复用报工数量守恒、工单进度和质量门检查清单；预防措施的正式责任人及完成日期未记录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软件质量控制与审计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持续执行测试、检查过程和产品记录、收集指标并形成报告；核对TestLink状态、矩阵与报告分母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TestLink结果、报告统计和追踪矩阵已对照；正式独立过程审计或产品审计未留存。状态记录覆盖率100%不等于执行完成率100%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度量分析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同时报告需求覆盖、执行完成、总通过、分类型状态、缺陷和阻塞原因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追踪覆盖52/52=100%；执行完成率59/76=77.6%；总通过率59/76=77.6%；已完成用例通过率59/59=100%；功能33/36=91.7%；质量专项26/40=65%；高优先级46/49=93.9%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软件配置管理</w:t>
            </w:r>
          </w:p>
        </w:tc>
        <w:tc>
          <w:tcPr>
            <w:tcW w:type="dxa" w:w="302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标识测试计划、需求、用例、导入XML、测试数据、脚本、环境和报告的版本；变更须记录影响、批准、实施、验证及状态</w:t>
            </w:r>
          </w:p>
        </w:tc>
        <w:tc>
          <w:tcPr>
            <w:tcW w:type="dxa" w:w="448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TestLink计划ID=108、构建LAB2-B01、TestLink版本及隔离库均已记录；MES代码提交号未在报告留存。v1.1仅修订文档结构和执行状态说明，不变更B01测试基线和原退出门槛</w:t>
            </w:r>
          </w:p>
        </w:tc>
      </w:tr>
    </w:tbl>
    <w:p>
      <w:pPr>
        <w:spacing w:after="20" w:before="0"/>
      </w:pP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教材附录B案例的项目背景、范围、策略、测试数据、组织、进度、风险、环境、工具及交付物结构已通过本计划第1至11节适配。案例中的出差业务、指定工具和性能指标不作为本项目测试事实。后续变更计划门槛时，应形成正式变更记录并重新评估影响；不得追溯修改既有执行结果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  <w:color w:val="667085"/>
        <w:sz w:val="18"/>
      </w:rPr>
      <w:t xml:space="preserve">软件测试与质量保证　·　实验2　　|　　第 </w:t>
    </w:r>
    <w:r>
      <w:rPr>
        <w:rFonts w:ascii="Times New Roman" w:hAnsi="Times New Roman" w:eastAsia="微软雅黑" w:cs="Times New Roman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微软雅黑" w:cs="Times New Roman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Times New Roman" w:hAnsi="Times New Roman" w:eastAsia="微软雅黑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2434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Keyboard MES 系统测试计划</dc:title>
  <dc:subject>系统测试计划</dc:subject>
  <dc:creator>第22组</dc:creator>
  <ns0:keywords>软件测试与质量保证; 实验2; Keyboard MES</ns0:keywords>
  <dc:description/>
  <ns0:lastModifiedBy/>
  <ns0:revision>1</ns0:revision>
  <ns2:created xsi:type="dcterms:W3CDTF">2013-12-23T23:15:00Z</ns2:created>
  <ns2:modified xsi:type="dcterms:W3CDTF">2013-12-23T23:15:00Z</ns2:modified>
  <ns0:category/>
</ns0:coreProperties>
</file>