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Times New Roman" w:hAnsi="Times New Roman" w:eastAsia="微软雅黑"/>
          <w:b/>
          <w:color w:val="000000"/>
          <w:sz w:val="40"/>
        </w:rPr>
        <w:t>实验4 静态分析实验报告</w:t>
      </w:r>
    </w:p>
    <w:p>
      <w:pPr/>
      <w:r>
        <w:rPr>
          <w:rFonts w:ascii="Times New Roman" w:hAnsi="Times New Roman" w:eastAsia="微软雅黑"/>
          <w:b w:val="0"/>
          <w:color w:val="000000"/>
          <w:sz w:val="22"/>
        </w:rPr>
        <w:t>课程：软件测试与质量保证    小组：第22组</w:t>
      </w:r>
    </w:p>
    <w:p>
      <w:pPr/>
      <w:r>
        <w:rPr>
          <w:rFonts w:ascii="Times New Roman" w:hAnsi="Times New Roman" w:eastAsia="微软雅黑"/>
          <w:b w:val="0"/>
          <w:color w:val="000000"/>
          <w:sz w:val="22"/>
        </w:rPr>
        <w:t>测试对象：Keyboard MES后端    实验日期：2026年10月11日</w:t>
      </w:r>
    </w:p>
    <w:p>
      <w:pPr>
        <w:keepNext/>
        <w:spacing w:before="180"/>
      </w:pPr>
      <w:r>
        <w:rPr>
          <w:rFonts w:ascii="Times New Roman" w:hAnsi="Times New Roman" w:eastAsia="微软雅黑"/>
          <w:b/>
          <w:color w:val="000000"/>
          <w:sz w:val="26"/>
        </w:rPr>
        <w:t>1 实验目的与测试范围</w:t>
      </w:r>
    </w:p>
    <w:p>
      <w:pPr/>
      <w:r>
        <w:rPr>
          <w:rFonts w:ascii="Times New Roman" w:hAnsi="Times New Roman" w:eastAsia="微软雅黑"/>
          <w:b w:val="0"/>
          <w:color w:val="000000"/>
          <w:sz w:val="22"/>
        </w:rPr>
        <w:t>本次使用SpotBugs和Alibaba Java Coding Guidelines检查后端代码，核查告警，并在相同范围复查。阿里规约检查覆盖72个Java源文件，结果为0项告警；SpotBugs分析73个编译类，发现15项告警。逐项核查后，13项判为当前框架场景下的误报，2项作为共享组件的设计风险保留，未发现需要修复的源码缺陷。</w:t>
      </w:r>
    </w:p>
    <w:p>
      <w:pPr/>
      <w:r>
        <w:rPr>
          <w:rFonts w:ascii="Times New Roman" w:hAnsi="Times New Roman" w:eastAsia="微软雅黑"/>
          <w:b w:val="0"/>
          <w:color w:val="000000"/>
          <w:sz w:val="22"/>
        </w:rPr>
        <w:t>分析范围为后端正式代码，不包含单元测试、前端、小程序或依赖库本身。此前规约修正结果作为本次复查的参考。</w:t>
      </w:r>
    </w:p>
    <w:p>
      <w:pPr>
        <w:keepNext/>
        <w:spacing w:before="180"/>
      </w:pPr>
      <w:r>
        <w:rPr>
          <w:rFonts w:ascii="Times New Roman" w:hAnsi="Times New Roman" w:eastAsia="微软雅黑"/>
          <w:b/>
          <w:color w:val="000000"/>
          <w:sz w:val="26"/>
        </w:rPr>
        <w:t>2 工具与扫描结果</w:t>
      </w:r>
    </w:p>
    <w:p>
      <w:pPr/>
      <w:r>
        <w:rPr>
          <w:rFonts w:ascii="Times New Roman" w:hAnsi="Times New Roman" w:eastAsia="微软雅黑"/>
          <w:b w:val="0"/>
          <w:color w:val="000000"/>
          <w:sz w:val="22"/>
        </w:rPr>
        <w:t>SpotBugs使用官方4.10.4发行包，由JDK 17直接运行。后端通过Maven 3.9.9重新编译，清除旧类残留后得到73个类。扫描启用最大分析强度并报告所有优先级，提供项目实际依赖作为辅助类路径。初次扫描与复查均无分析错误和缺失类，没有修改工具或添加告警排除规则。</w:t>
      </w:r>
    </w:p>
    <w:p>
      <w:pPr/>
      <w:r>
        <w:rPr>
          <w:rFonts w:ascii="Times New Roman" w:hAnsi="Times New Roman" w:eastAsia="微软雅黑"/>
          <w:b w:val="0"/>
          <w:color w:val="000000"/>
          <w:sz w:val="22"/>
        </w:rPr>
        <w:t>Alibaba Java Coding Guidelines使用阿里官方P3C PMD规则2.1.1，配合PMD 6.55.0解析Java 17源码，启用异常、注释、命名、集合、并发等十组规则。检测范围为上述十组规则。扫描日志出现DFA迭代提示，XML结果未记录处理错误。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64"/>
        <w:gridCol w:w="2464"/>
        <w:gridCol w:w="2464"/>
        <w:gridCol w:w="2464"/>
      </w:tblGrid>
      <w:tr>
        <w:trPr>
          <w:tblHeader/>
        </w:trPr>
        <w:tc>
          <w:tcPr>
            <w:tcW w:type="dxa" w:w="3005"/>
            <w:vAlign w:val="center"/>
            <w:tcBorders>
              <w:top w:val="single" w:color="D9D9D9" w:sz="4"/>
              <w:bottom w:val="single" w:color="D9D9D9" w:sz="4"/>
              <w:left w:val="single" w:color="D9D9D9" w:sz="4"/>
              <w:right w:val="single" w:color="D9D9D9" w:sz="4"/>
            </w:tcBorders>
            <w:shd w:fill="DCE6F1"/>
          </w:tcPr>
          <w:p>
            <w:pPr>
              <w:spacing w:before="80" w:after="80" w:line="264" w:lineRule="auto"/>
            </w:pPr>
            <w:r>
              <w:rPr>
                <w:rFonts w:ascii="Times New Roman" w:hAnsi="Times New Roman" w:eastAsia="微软雅黑"/>
                <w:b/>
                <w:color w:val="000000"/>
                <w:sz w:val="20"/>
              </w:rPr>
              <w:t>工具</w:t>
            </w:r>
          </w:p>
        </w:tc>
        <w:tc>
          <w:tcPr>
            <w:tcW w:type="dxa" w:w="2778"/>
            <w:vAlign w:val="center"/>
            <w:tcBorders>
              <w:top w:val="single" w:color="D9D9D9" w:sz="4"/>
              <w:bottom w:val="single" w:color="D9D9D9" w:sz="4"/>
              <w:left w:val="single" w:color="D9D9D9" w:sz="4"/>
              <w:right w:val="single" w:color="D9D9D9" w:sz="4"/>
            </w:tcBorders>
            <w:shd w:fill="DCE6F1"/>
          </w:tcPr>
          <w:p>
            <w:pPr>
              <w:spacing w:before="80" w:after="80" w:line="264" w:lineRule="auto"/>
              <w:jc w:val="center"/>
            </w:pPr>
            <w:r>
              <w:rPr>
                <w:rFonts w:ascii="Times New Roman" w:hAnsi="Times New Roman" w:eastAsia="微软雅黑"/>
                <w:b/>
                <w:color w:val="000000"/>
                <w:sz w:val="20"/>
              </w:rPr>
              <w:t>分析范围</w:t>
            </w:r>
          </w:p>
        </w:tc>
        <w:tc>
          <w:tcPr>
            <w:tcW w:type="dxa" w:w="1701"/>
            <w:vAlign w:val="center"/>
            <w:tcBorders>
              <w:top w:val="single" w:color="D9D9D9" w:sz="4"/>
              <w:bottom w:val="single" w:color="D9D9D9" w:sz="4"/>
              <w:left w:val="single" w:color="D9D9D9" w:sz="4"/>
              <w:right w:val="single" w:color="D9D9D9" w:sz="4"/>
            </w:tcBorders>
            <w:shd w:fill="DCE6F1"/>
          </w:tcPr>
          <w:p>
            <w:pPr>
              <w:spacing w:before="80" w:after="80" w:line="264" w:lineRule="auto"/>
              <w:jc w:val="center"/>
            </w:pPr>
            <w:r>
              <w:rPr>
                <w:rFonts w:ascii="Times New Roman" w:hAnsi="Times New Roman" w:eastAsia="微软雅黑"/>
                <w:b/>
                <w:color w:val="000000"/>
                <w:sz w:val="20"/>
              </w:rPr>
              <w:t>初次告警</w:t>
            </w:r>
          </w:p>
        </w:tc>
        <w:tc>
          <w:tcPr>
            <w:tcW w:type="dxa" w:w="1701"/>
            <w:vAlign w:val="center"/>
            <w:tcBorders>
              <w:top w:val="single" w:color="D9D9D9" w:sz="4"/>
              <w:bottom w:val="single" w:color="D9D9D9" w:sz="4"/>
              <w:left w:val="single" w:color="D9D9D9" w:sz="4"/>
              <w:right w:val="single" w:color="D9D9D9" w:sz="4"/>
            </w:tcBorders>
            <w:shd w:fill="DCE6F1"/>
          </w:tcPr>
          <w:p>
            <w:pPr>
              <w:spacing w:before="80" w:after="80" w:line="264" w:lineRule="auto"/>
              <w:jc w:val="center"/>
            </w:pPr>
            <w:r>
              <w:rPr>
                <w:rFonts w:ascii="Times New Roman" w:hAnsi="Times New Roman" w:eastAsia="微软雅黑"/>
                <w:b/>
                <w:color w:val="000000"/>
                <w:sz w:val="20"/>
              </w:rPr>
              <w:t>复查告警</w:t>
            </w:r>
          </w:p>
        </w:tc>
      </w:tr>
      <w:tr>
        <w:tc>
          <w:tcPr>
            <w:tcW w:type="dxa" w:w="3005"/>
            <w:vAlign w:val="center"/>
            <w:tcBorders>
              <w:top w:val="single" w:color="D9D9D9" w:sz="4"/>
              <w:bottom w:val="single" w:color="D9D9D9" w:sz="4"/>
              <w:left w:val="single" w:color="D9D9D9" w:sz="4"/>
              <w:right w:val="single" w:color="D9D9D9" w:sz="4"/>
            </w:tcBorders>
          </w:tcPr>
          <w:p>
            <w:pPr>
              <w:spacing w:before="80" w:after="8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20"/>
              </w:rPr>
              <w:t>SpotBugs 4.10.4</w:t>
            </w:r>
          </w:p>
        </w:tc>
        <w:tc>
          <w:tcPr>
            <w:tcW w:type="dxa" w:w="2778"/>
            <w:vAlign w:val="center"/>
            <w:tcBorders>
              <w:top w:val="single" w:color="D9D9D9" w:sz="4"/>
              <w:bottom w:val="single" w:color="D9D9D9" w:sz="4"/>
              <w:left w:val="single" w:color="D9D9D9" w:sz="4"/>
              <w:right w:val="single" w:color="D9D9D9" w:sz="4"/>
            </w:tcBorders>
          </w:tcPr>
          <w:p>
            <w:pPr>
              <w:spacing w:before="80" w:after="80" w:line="264" w:lineRule="auto"/>
              <w:jc w:val="center"/>
            </w:pPr>
            <w:r>
              <w:rPr>
                <w:rFonts w:ascii="Times New Roman" w:hAnsi="Times New Roman" w:eastAsia="微软雅黑"/>
                <w:b w:val="0"/>
                <w:color w:val="000000"/>
                <w:sz w:val="20"/>
              </w:rPr>
              <w:t>73个编译类</w:t>
            </w:r>
          </w:p>
        </w:tc>
        <w:tc>
          <w:tcPr>
            <w:tcW w:type="dxa" w:w="1701"/>
            <w:vAlign w:val="center"/>
            <w:tcBorders>
              <w:top w:val="single" w:color="D9D9D9" w:sz="4"/>
              <w:bottom w:val="single" w:color="D9D9D9" w:sz="4"/>
              <w:left w:val="single" w:color="D9D9D9" w:sz="4"/>
              <w:right w:val="single" w:color="D9D9D9" w:sz="4"/>
            </w:tcBorders>
          </w:tcPr>
          <w:p>
            <w:pPr>
              <w:spacing w:before="80" w:after="80" w:line="264" w:lineRule="auto"/>
              <w:jc w:val="center"/>
            </w:pPr>
            <w:r>
              <w:rPr>
                <w:rFonts w:ascii="Times New Roman" w:hAnsi="Times New Roman" w:eastAsia="微软雅黑"/>
                <w:b w:val="0"/>
                <w:color w:val="000000"/>
                <w:sz w:val="20"/>
              </w:rPr>
              <w:t>15</w:t>
            </w:r>
          </w:p>
        </w:tc>
        <w:tc>
          <w:tcPr>
            <w:tcW w:type="dxa" w:w="1701"/>
            <w:vAlign w:val="center"/>
            <w:tcBorders>
              <w:top w:val="single" w:color="D9D9D9" w:sz="4"/>
              <w:bottom w:val="single" w:color="D9D9D9" w:sz="4"/>
              <w:left w:val="single" w:color="D9D9D9" w:sz="4"/>
              <w:right w:val="single" w:color="D9D9D9" w:sz="4"/>
            </w:tcBorders>
          </w:tcPr>
          <w:p>
            <w:pPr>
              <w:spacing w:before="80" w:after="80" w:line="264" w:lineRule="auto"/>
              <w:jc w:val="center"/>
            </w:pPr>
            <w:r>
              <w:rPr>
                <w:rFonts w:ascii="Times New Roman" w:hAnsi="Times New Roman" w:eastAsia="微软雅黑"/>
                <w:b w:val="0"/>
                <w:color w:val="000000"/>
                <w:sz w:val="20"/>
              </w:rPr>
              <w:t>15</w:t>
            </w:r>
          </w:p>
        </w:tc>
      </w:tr>
      <w:tr>
        <w:tc>
          <w:tcPr>
            <w:tcW w:type="dxa" w:w="3005"/>
            <w:vAlign w:val="center"/>
            <w:tcBorders>
              <w:top w:val="single" w:color="D9D9D9" w:sz="4"/>
              <w:bottom w:val="single" w:color="D9D9D9" w:sz="4"/>
              <w:left w:val="single" w:color="D9D9D9" w:sz="4"/>
              <w:right w:val="single" w:color="D9D9D9" w:sz="4"/>
            </w:tcBorders>
          </w:tcPr>
          <w:p>
            <w:pPr>
              <w:spacing w:before="80" w:after="8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20"/>
              </w:rPr>
              <w:t>Alibaba Java Coding Guidelines</w:t>
            </w:r>
          </w:p>
        </w:tc>
        <w:tc>
          <w:tcPr>
            <w:tcW w:type="dxa" w:w="2778"/>
            <w:vAlign w:val="center"/>
            <w:tcBorders>
              <w:top w:val="single" w:color="D9D9D9" w:sz="4"/>
              <w:bottom w:val="single" w:color="D9D9D9" w:sz="4"/>
              <w:left w:val="single" w:color="D9D9D9" w:sz="4"/>
              <w:right w:val="single" w:color="D9D9D9" w:sz="4"/>
            </w:tcBorders>
          </w:tcPr>
          <w:p>
            <w:pPr>
              <w:spacing w:before="80" w:after="80" w:line="264" w:lineRule="auto"/>
              <w:jc w:val="center"/>
            </w:pPr>
            <w:r>
              <w:rPr>
                <w:rFonts w:ascii="Times New Roman" w:hAnsi="Times New Roman" w:eastAsia="微软雅黑"/>
                <w:b w:val="0"/>
                <w:color w:val="000000"/>
                <w:sz w:val="20"/>
              </w:rPr>
              <w:t>72个源文件</w:t>
            </w:r>
          </w:p>
        </w:tc>
        <w:tc>
          <w:tcPr>
            <w:tcW w:type="dxa" w:w="1701"/>
            <w:vAlign w:val="center"/>
            <w:tcBorders>
              <w:top w:val="single" w:color="D9D9D9" w:sz="4"/>
              <w:bottom w:val="single" w:color="D9D9D9" w:sz="4"/>
              <w:left w:val="single" w:color="D9D9D9" w:sz="4"/>
              <w:right w:val="single" w:color="D9D9D9" w:sz="4"/>
            </w:tcBorders>
          </w:tcPr>
          <w:p>
            <w:pPr>
              <w:spacing w:before="80" w:after="80" w:line="264" w:lineRule="auto"/>
              <w:jc w:val="center"/>
            </w:pPr>
            <w:r>
              <w:rPr>
                <w:rFonts w:ascii="Times New Roman" w:hAnsi="Times New Roman" w:eastAsia="微软雅黑"/>
                <w:b w:val="0"/>
                <w:color w:val="000000"/>
                <w:sz w:val="20"/>
              </w:rPr>
              <w:t>0</w:t>
            </w:r>
          </w:p>
        </w:tc>
        <w:tc>
          <w:tcPr>
            <w:tcW w:type="dxa" w:w="1701"/>
            <w:vAlign w:val="center"/>
            <w:tcBorders>
              <w:top w:val="single" w:color="D9D9D9" w:sz="4"/>
              <w:bottom w:val="single" w:color="D9D9D9" w:sz="4"/>
              <w:left w:val="single" w:color="D9D9D9" w:sz="4"/>
              <w:right w:val="single" w:color="D9D9D9" w:sz="4"/>
            </w:tcBorders>
          </w:tcPr>
          <w:p>
            <w:pPr>
              <w:spacing w:before="80" w:after="80" w:line="264" w:lineRule="auto"/>
              <w:jc w:val="center"/>
            </w:pPr>
            <w:r>
              <w:rPr>
                <w:rFonts w:ascii="Times New Roman" w:hAnsi="Times New Roman" w:eastAsia="微软雅黑"/>
                <w:b w:val="0"/>
                <w:color w:val="000000"/>
                <w:sz w:val="20"/>
              </w:rPr>
              <w:t>0</w:t>
            </w:r>
          </w:p>
        </w:tc>
      </w:tr>
    </w:tbl>
    <w:p/>
    <w:p>
      <w:pPr/>
      <w:r>
        <w:rPr>
          <w:rFonts w:ascii="Times New Roman" w:hAnsi="Times New Roman" w:eastAsia="微软雅黑"/>
          <w:b w:val="0"/>
          <w:color w:val="000000"/>
          <w:sz w:val="22"/>
        </w:rPr>
        <w:t>复查仍发现15项共享依赖告警。经核查，现有设计保持不变，告警的具体判断与保留理由见下节。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040000" cy="408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otBugs检测结果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0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微软雅黑"/>
          <w:b w:val="0"/>
          <w:color w:val="000000"/>
          <w:sz w:val="18"/>
        </w:rPr>
        <w:t>图1 SpotBugs原生HTML报告中的版本、分析范围和告警统计</w:t>
      </w:r>
    </w:p>
    <w:p>
      <w:pPr>
        <w:keepNext/>
        <w:spacing w:before="180"/>
      </w:pPr>
      <w:r>
        <w:rPr>
          <w:rFonts w:ascii="Times New Roman" w:hAnsi="Times New Roman" w:eastAsia="微软雅黑"/>
          <w:b/>
          <w:color w:val="000000"/>
          <w:sz w:val="26"/>
        </w:rPr>
        <w:t>3 SpotBugs告警核查</w:t>
      </w:r>
    </w:p>
    <w:p>
      <w:pPr/>
      <w:r>
        <w:rPr>
          <w:rFonts w:ascii="Times New Roman" w:hAnsi="Times New Roman" w:eastAsia="微软雅黑"/>
          <w:b w:val="0"/>
          <w:color w:val="000000"/>
          <w:sz w:val="22"/>
        </w:rPr>
        <w:t>15项告警均为EI_EXPOSE_REP2，即构造器保存外部可变对象引用。判定时结合依赖来源、字段访问范围、对象用途及配置修改位置，而非仅依据告警名称。结果如下。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64"/>
        <w:gridCol w:w="2464"/>
        <w:gridCol w:w="2464"/>
        <w:gridCol w:w="2464"/>
      </w:tblGrid>
      <w:tr>
        <w:trPr>
          <w:tblHeader/>
        </w:trPr>
        <w:tc>
          <w:tcPr>
            <w:tcW w:type="dxa" w:w="3005"/>
            <w:vAlign w:val="center"/>
            <w:tcBorders>
              <w:top w:val="single" w:color="D9D9D9" w:sz="4"/>
              <w:bottom w:val="single" w:color="D9D9D9" w:sz="4"/>
              <w:left w:val="single" w:color="D9D9D9" w:sz="4"/>
              <w:right w:val="single" w:color="D9D9D9" w:sz="4"/>
            </w:tcBorders>
            <w:shd w:fill="DCE6F1"/>
          </w:tcPr>
          <w:p>
            <w:pPr>
              <w:spacing w:before="80" w:after="80" w:line="264" w:lineRule="auto"/>
            </w:pPr>
            <w:r>
              <w:rPr>
                <w:rFonts w:ascii="Times New Roman" w:hAnsi="Times New Roman" w:eastAsia="微软雅黑"/>
                <w:b/>
                <w:color w:val="000000"/>
                <w:sz w:val="20"/>
              </w:rPr>
              <w:t>位置</w:t>
            </w:r>
          </w:p>
        </w:tc>
        <w:tc>
          <w:tcPr>
            <w:tcW w:type="dxa" w:w="794"/>
            <w:vAlign w:val="center"/>
            <w:tcBorders>
              <w:top w:val="single" w:color="D9D9D9" w:sz="4"/>
              <w:bottom w:val="single" w:color="D9D9D9" w:sz="4"/>
              <w:left w:val="single" w:color="D9D9D9" w:sz="4"/>
              <w:right w:val="single" w:color="D9D9D9" w:sz="4"/>
            </w:tcBorders>
            <w:shd w:fill="DCE6F1"/>
          </w:tcPr>
          <w:p>
            <w:pPr>
              <w:spacing w:before="80" w:after="80" w:line="264" w:lineRule="auto"/>
              <w:jc w:val="center"/>
            </w:pPr>
            <w:r>
              <w:rPr>
                <w:rFonts w:ascii="Times New Roman" w:hAnsi="Times New Roman" w:eastAsia="微软雅黑"/>
                <w:b/>
                <w:color w:val="000000"/>
                <w:sz w:val="20"/>
              </w:rPr>
              <w:t>数量</w:t>
            </w:r>
          </w:p>
        </w:tc>
        <w:tc>
          <w:tcPr>
            <w:tcW w:type="dxa" w:w="2324"/>
            <w:vAlign w:val="center"/>
            <w:tcBorders>
              <w:top w:val="single" w:color="D9D9D9" w:sz="4"/>
              <w:bottom w:val="single" w:color="D9D9D9" w:sz="4"/>
              <w:left w:val="single" w:color="D9D9D9" w:sz="4"/>
              <w:right w:val="single" w:color="D9D9D9" w:sz="4"/>
            </w:tcBorders>
            <w:shd w:fill="DCE6F1"/>
          </w:tcPr>
          <w:p>
            <w:pPr>
              <w:spacing w:before="80" w:after="80" w:line="264" w:lineRule="auto"/>
            </w:pPr>
            <w:r>
              <w:rPr>
                <w:rFonts w:ascii="Times New Roman" w:hAnsi="Times New Roman" w:eastAsia="微软雅黑"/>
                <w:b/>
                <w:color w:val="000000"/>
                <w:sz w:val="20"/>
              </w:rPr>
              <w:t>人工判断</w:t>
            </w:r>
          </w:p>
        </w:tc>
        <w:tc>
          <w:tcPr>
            <w:tcW w:type="dxa" w:w="3061"/>
            <w:vAlign w:val="center"/>
            <w:tcBorders>
              <w:top w:val="single" w:color="D9D9D9" w:sz="4"/>
              <w:bottom w:val="single" w:color="D9D9D9" w:sz="4"/>
              <w:left w:val="single" w:color="D9D9D9" w:sz="4"/>
              <w:right w:val="single" w:color="D9D9D9" w:sz="4"/>
            </w:tcBorders>
            <w:shd w:fill="DCE6F1"/>
          </w:tcPr>
          <w:p>
            <w:pPr>
              <w:spacing w:before="80" w:after="80" w:line="264" w:lineRule="auto"/>
            </w:pPr>
            <w:r>
              <w:rPr>
                <w:rFonts w:ascii="Times New Roman" w:hAnsi="Times New Roman" w:eastAsia="微软雅黑"/>
                <w:b/>
                <w:color w:val="000000"/>
                <w:sz w:val="20"/>
              </w:rPr>
              <w:t>处理</w:t>
            </w:r>
          </w:p>
        </w:tc>
      </w:tr>
      <w:tr>
        <w:tc>
          <w:tcPr>
            <w:tcW w:type="dxa" w:w="3005"/>
            <w:vAlign w:val="center"/>
            <w:tcBorders>
              <w:top w:val="single" w:color="D9D9D9" w:sz="4"/>
              <w:bottom w:val="single" w:color="D9D9D9" w:sz="4"/>
              <w:left w:val="single" w:color="D9D9D9" w:sz="4"/>
              <w:right w:val="single" w:color="D9D9D9" w:sz="4"/>
            </w:tcBorders>
          </w:tcPr>
          <w:p>
            <w:pPr>
              <w:spacing w:before="80" w:after="8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20"/>
              </w:rPr>
              <w:t>WebConfig的拦截器</w:t>
            </w:r>
          </w:p>
        </w:tc>
        <w:tc>
          <w:tcPr>
            <w:tcW w:type="dxa" w:w="794"/>
            <w:vAlign w:val="center"/>
            <w:tcBorders>
              <w:top w:val="single" w:color="D9D9D9" w:sz="4"/>
              <w:bottom w:val="single" w:color="D9D9D9" w:sz="4"/>
              <w:left w:val="single" w:color="D9D9D9" w:sz="4"/>
              <w:right w:val="single" w:color="D9D9D9" w:sz="4"/>
            </w:tcBorders>
          </w:tcPr>
          <w:p>
            <w:pPr>
              <w:spacing w:before="80" w:after="80" w:line="264" w:lineRule="auto"/>
              <w:jc w:val="center"/>
            </w:pPr>
            <w:r>
              <w:rPr>
                <w:rFonts w:ascii="Times New Roman" w:hAnsi="Times New Roman" w:eastAsia="微软雅黑"/>
                <w:b w:val="0"/>
                <w:color w:val="000000"/>
                <w:sz w:val="20"/>
              </w:rPr>
              <w:t>1</w:t>
            </w:r>
          </w:p>
        </w:tc>
        <w:tc>
          <w:tcPr>
            <w:tcW w:type="dxa" w:w="2324"/>
            <w:vAlign w:val="center"/>
            <w:tcBorders>
              <w:top w:val="single" w:color="D9D9D9" w:sz="4"/>
              <w:bottom w:val="single" w:color="D9D9D9" w:sz="4"/>
              <w:left w:val="single" w:color="D9D9D9" w:sz="4"/>
              <w:right w:val="single" w:color="D9D9D9" w:sz="4"/>
            </w:tcBorders>
          </w:tcPr>
          <w:p>
            <w:pPr>
              <w:spacing w:before="80" w:after="8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20"/>
              </w:rPr>
              <w:t>框架场景误报</w:t>
            </w:r>
          </w:p>
        </w:tc>
        <w:tc>
          <w:tcPr>
            <w:tcW w:type="dxa" w:w="3061"/>
            <w:vAlign w:val="center"/>
            <w:tcBorders>
              <w:top w:val="single" w:color="D9D9D9" w:sz="4"/>
              <w:bottom w:val="single" w:color="D9D9D9" w:sz="4"/>
              <w:left w:val="single" w:color="D9D9D9" w:sz="4"/>
              <w:right w:val="single" w:color="D9D9D9" w:sz="4"/>
            </w:tcBorders>
          </w:tcPr>
          <w:p>
            <w:pPr>
              <w:spacing w:before="80" w:after="8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20"/>
              </w:rPr>
              <w:t>保留Spring注入与MVC注册</w:t>
            </w:r>
          </w:p>
        </w:tc>
      </w:tr>
      <w:tr>
        <w:tc>
          <w:tcPr>
            <w:tcW w:type="dxa" w:w="3005"/>
            <w:vAlign w:val="center"/>
            <w:tcBorders>
              <w:top w:val="single" w:color="D9D9D9" w:sz="4"/>
              <w:bottom w:val="single" w:color="D9D9D9" w:sz="4"/>
              <w:left w:val="single" w:color="D9D9D9" w:sz="4"/>
              <w:right w:val="single" w:color="D9D9D9" w:sz="4"/>
            </w:tcBorders>
          </w:tcPr>
          <w:p>
            <w:pPr>
              <w:spacing w:before="80" w:after="8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20"/>
              </w:rPr>
              <w:t>ReportServiceImpl的Mapper</w:t>
            </w:r>
          </w:p>
        </w:tc>
        <w:tc>
          <w:tcPr>
            <w:tcW w:type="dxa" w:w="794"/>
            <w:vAlign w:val="center"/>
            <w:tcBorders>
              <w:top w:val="single" w:color="D9D9D9" w:sz="4"/>
              <w:bottom w:val="single" w:color="D9D9D9" w:sz="4"/>
              <w:left w:val="single" w:color="D9D9D9" w:sz="4"/>
              <w:right w:val="single" w:color="D9D9D9" w:sz="4"/>
            </w:tcBorders>
          </w:tcPr>
          <w:p>
            <w:pPr>
              <w:spacing w:before="80" w:after="80" w:line="264" w:lineRule="auto"/>
              <w:jc w:val="center"/>
            </w:pPr>
            <w:r>
              <w:rPr>
                <w:rFonts w:ascii="Times New Roman" w:hAnsi="Times New Roman" w:eastAsia="微软雅黑"/>
                <w:b w:val="0"/>
                <w:color w:val="000000"/>
                <w:sz w:val="20"/>
              </w:rPr>
              <w:t>6</w:t>
            </w:r>
          </w:p>
        </w:tc>
        <w:tc>
          <w:tcPr>
            <w:tcW w:type="dxa" w:w="2324"/>
            <w:vAlign w:val="center"/>
            <w:tcBorders>
              <w:top w:val="single" w:color="D9D9D9" w:sz="4"/>
              <w:bottom w:val="single" w:color="D9D9D9" w:sz="4"/>
              <w:left w:val="single" w:color="D9D9D9" w:sz="4"/>
              <w:right w:val="single" w:color="D9D9D9" w:sz="4"/>
            </w:tcBorders>
          </w:tcPr>
          <w:p>
            <w:pPr>
              <w:spacing w:before="80" w:after="8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20"/>
              </w:rPr>
              <w:t>框架场景误报</w:t>
            </w:r>
          </w:p>
        </w:tc>
        <w:tc>
          <w:tcPr>
            <w:tcW w:type="dxa" w:w="3061"/>
            <w:vAlign w:val="center"/>
            <w:tcBorders>
              <w:top w:val="single" w:color="D9D9D9" w:sz="4"/>
              <w:bottom w:val="single" w:color="D9D9D9" w:sz="4"/>
              <w:left w:val="single" w:color="D9D9D9" w:sz="4"/>
              <w:right w:val="single" w:color="D9D9D9" w:sz="4"/>
            </w:tcBorders>
          </w:tcPr>
          <w:p>
            <w:pPr>
              <w:spacing w:before="80" w:after="8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20"/>
              </w:rPr>
              <w:t>保留MyBatis代理</w:t>
            </w:r>
          </w:p>
        </w:tc>
      </w:tr>
      <w:tr>
        <w:tc>
          <w:tcPr>
            <w:tcW w:type="dxa" w:w="3005"/>
            <w:vAlign w:val="center"/>
            <w:tcBorders>
              <w:top w:val="single" w:color="D9D9D9" w:sz="4"/>
              <w:bottom w:val="single" w:color="D9D9D9" w:sz="4"/>
              <w:left w:val="single" w:color="D9D9D9" w:sz="4"/>
              <w:right w:val="single" w:color="D9D9D9" w:sz="4"/>
            </w:tcBorders>
          </w:tcPr>
          <w:p>
            <w:pPr>
              <w:spacing w:before="80" w:after="8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20"/>
              </w:rPr>
              <w:t>TraceServiceImpl的Mapper</w:t>
            </w:r>
          </w:p>
        </w:tc>
        <w:tc>
          <w:tcPr>
            <w:tcW w:type="dxa" w:w="794"/>
            <w:vAlign w:val="center"/>
            <w:tcBorders>
              <w:top w:val="single" w:color="D9D9D9" w:sz="4"/>
              <w:bottom w:val="single" w:color="D9D9D9" w:sz="4"/>
              <w:left w:val="single" w:color="D9D9D9" w:sz="4"/>
              <w:right w:val="single" w:color="D9D9D9" w:sz="4"/>
            </w:tcBorders>
          </w:tcPr>
          <w:p>
            <w:pPr>
              <w:spacing w:before="80" w:after="80" w:line="264" w:lineRule="auto"/>
              <w:jc w:val="center"/>
            </w:pPr>
            <w:r>
              <w:rPr>
                <w:rFonts w:ascii="Times New Roman" w:hAnsi="Times New Roman" w:eastAsia="微软雅黑"/>
                <w:b w:val="0"/>
                <w:color w:val="000000"/>
                <w:sz w:val="20"/>
              </w:rPr>
              <w:t>5</w:t>
            </w:r>
          </w:p>
        </w:tc>
        <w:tc>
          <w:tcPr>
            <w:tcW w:type="dxa" w:w="2324"/>
            <w:vAlign w:val="center"/>
            <w:tcBorders>
              <w:top w:val="single" w:color="D9D9D9" w:sz="4"/>
              <w:bottom w:val="single" w:color="D9D9D9" w:sz="4"/>
              <w:left w:val="single" w:color="D9D9D9" w:sz="4"/>
              <w:right w:val="single" w:color="D9D9D9" w:sz="4"/>
            </w:tcBorders>
          </w:tcPr>
          <w:p>
            <w:pPr>
              <w:spacing w:before="80" w:after="8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20"/>
              </w:rPr>
              <w:t>框架场景误报</w:t>
            </w:r>
          </w:p>
        </w:tc>
        <w:tc>
          <w:tcPr>
            <w:tcW w:type="dxa" w:w="3061"/>
            <w:vAlign w:val="center"/>
            <w:tcBorders>
              <w:top w:val="single" w:color="D9D9D9" w:sz="4"/>
              <w:bottom w:val="single" w:color="D9D9D9" w:sz="4"/>
              <w:left w:val="single" w:color="D9D9D9" w:sz="4"/>
              <w:right w:val="single" w:color="D9D9D9" w:sz="4"/>
            </w:tcBorders>
          </w:tcPr>
          <w:p>
            <w:pPr>
              <w:spacing w:before="80" w:after="8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20"/>
              </w:rPr>
              <w:t>保留MyBatis代理</w:t>
            </w:r>
          </w:p>
        </w:tc>
      </w:tr>
      <w:tr>
        <w:tc>
          <w:tcPr>
            <w:tcW w:type="dxa" w:w="3005"/>
            <w:vAlign w:val="center"/>
            <w:tcBorders>
              <w:top w:val="single" w:color="D9D9D9" w:sz="4"/>
              <w:bottom w:val="single" w:color="D9D9D9" w:sz="4"/>
              <w:left w:val="single" w:color="D9D9D9" w:sz="4"/>
              <w:right w:val="single" w:color="D9D9D9" w:sz="4"/>
            </w:tcBorders>
          </w:tcPr>
          <w:p>
            <w:pPr>
              <w:spacing w:before="80" w:after="8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20"/>
              </w:rPr>
              <w:t>MesShiroRealm的Mapper</w:t>
            </w:r>
          </w:p>
        </w:tc>
        <w:tc>
          <w:tcPr>
            <w:tcW w:type="dxa" w:w="794"/>
            <w:vAlign w:val="center"/>
            <w:tcBorders>
              <w:top w:val="single" w:color="D9D9D9" w:sz="4"/>
              <w:bottom w:val="single" w:color="D9D9D9" w:sz="4"/>
              <w:left w:val="single" w:color="D9D9D9" w:sz="4"/>
              <w:right w:val="single" w:color="D9D9D9" w:sz="4"/>
            </w:tcBorders>
          </w:tcPr>
          <w:p>
            <w:pPr>
              <w:spacing w:before="80" w:after="80" w:line="264" w:lineRule="auto"/>
              <w:jc w:val="center"/>
            </w:pPr>
            <w:r>
              <w:rPr>
                <w:rFonts w:ascii="Times New Roman" w:hAnsi="Times New Roman" w:eastAsia="微软雅黑"/>
                <w:b w:val="0"/>
                <w:color w:val="000000"/>
                <w:sz w:val="20"/>
              </w:rPr>
              <w:t>1</w:t>
            </w:r>
          </w:p>
        </w:tc>
        <w:tc>
          <w:tcPr>
            <w:tcW w:type="dxa" w:w="2324"/>
            <w:vAlign w:val="center"/>
            <w:tcBorders>
              <w:top w:val="single" w:color="D9D9D9" w:sz="4"/>
              <w:bottom w:val="single" w:color="D9D9D9" w:sz="4"/>
              <w:left w:val="single" w:color="D9D9D9" w:sz="4"/>
              <w:right w:val="single" w:color="D9D9D9" w:sz="4"/>
            </w:tcBorders>
          </w:tcPr>
          <w:p>
            <w:pPr>
              <w:spacing w:before="80" w:after="8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20"/>
              </w:rPr>
              <w:t>框架场景误报</w:t>
            </w:r>
          </w:p>
        </w:tc>
        <w:tc>
          <w:tcPr>
            <w:tcW w:type="dxa" w:w="3061"/>
            <w:vAlign w:val="center"/>
            <w:tcBorders>
              <w:top w:val="single" w:color="D9D9D9" w:sz="4"/>
              <w:bottom w:val="single" w:color="D9D9D9" w:sz="4"/>
              <w:left w:val="single" w:color="D9D9D9" w:sz="4"/>
              <w:right w:val="single" w:color="D9D9D9" w:sz="4"/>
            </w:tcBorders>
          </w:tcPr>
          <w:p>
            <w:pPr>
              <w:spacing w:before="80" w:after="8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20"/>
              </w:rPr>
              <w:t>保留Bean工厂注入</w:t>
            </w:r>
          </w:p>
        </w:tc>
      </w:tr>
      <w:tr>
        <w:tc>
          <w:tcPr>
            <w:tcW w:type="dxa" w:w="3005"/>
            <w:vAlign w:val="center"/>
            <w:tcBorders>
              <w:top w:val="single" w:color="D9D9D9" w:sz="4"/>
              <w:bottom w:val="single" w:color="D9D9D9" w:sz="4"/>
              <w:left w:val="single" w:color="D9D9D9" w:sz="4"/>
              <w:right w:val="single" w:color="D9D9D9" w:sz="4"/>
            </w:tcBorders>
          </w:tcPr>
          <w:p>
            <w:pPr>
              <w:spacing w:before="80" w:after="8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20"/>
              </w:rPr>
              <w:t>AuthSessionService的共享组件</w:t>
            </w:r>
          </w:p>
        </w:tc>
        <w:tc>
          <w:tcPr>
            <w:tcW w:type="dxa" w:w="794"/>
            <w:vAlign w:val="center"/>
            <w:tcBorders>
              <w:top w:val="single" w:color="D9D9D9" w:sz="4"/>
              <w:bottom w:val="single" w:color="D9D9D9" w:sz="4"/>
              <w:left w:val="single" w:color="D9D9D9" w:sz="4"/>
              <w:right w:val="single" w:color="D9D9D9" w:sz="4"/>
            </w:tcBorders>
          </w:tcPr>
          <w:p>
            <w:pPr>
              <w:spacing w:before="80" w:after="80" w:line="264" w:lineRule="auto"/>
              <w:jc w:val="center"/>
            </w:pPr>
            <w:r>
              <w:rPr>
                <w:rFonts w:ascii="Times New Roman" w:hAnsi="Times New Roman" w:eastAsia="微软雅黑"/>
                <w:b w:val="0"/>
                <w:color w:val="000000"/>
                <w:sz w:val="20"/>
              </w:rPr>
              <w:t>2</w:t>
            </w:r>
          </w:p>
        </w:tc>
        <w:tc>
          <w:tcPr>
            <w:tcW w:type="dxa" w:w="2324"/>
            <w:vAlign w:val="center"/>
            <w:tcBorders>
              <w:top w:val="single" w:color="D9D9D9" w:sz="4"/>
              <w:bottom w:val="single" w:color="D9D9D9" w:sz="4"/>
              <w:left w:val="single" w:color="D9D9D9" w:sz="4"/>
              <w:right w:val="single" w:color="D9D9D9" w:sz="4"/>
            </w:tcBorders>
          </w:tcPr>
          <w:p>
            <w:pPr>
              <w:spacing w:before="80" w:after="8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20"/>
              </w:rPr>
              <w:t>设计风险保留</w:t>
            </w:r>
          </w:p>
        </w:tc>
        <w:tc>
          <w:tcPr>
            <w:tcW w:type="dxa" w:w="3061"/>
            <w:vAlign w:val="center"/>
            <w:tcBorders>
              <w:top w:val="single" w:color="D9D9D9" w:sz="4"/>
              <w:bottom w:val="single" w:color="D9D9D9" w:sz="4"/>
              <w:left w:val="single" w:color="D9D9D9" w:sz="4"/>
              <w:right w:val="single" w:color="D9D9D9" w:sz="4"/>
            </w:tcBorders>
          </w:tcPr>
          <w:p>
            <w:pPr>
              <w:spacing w:before="80" w:after="8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20"/>
              </w:rPr>
              <w:t>维持初始化后配置稳定</w:t>
            </w:r>
          </w:p>
        </w:tc>
      </w:tr>
    </w:tbl>
    <w:p/>
    <w:p>
      <w:pPr/>
      <w:r>
        <w:rPr>
          <w:rFonts w:ascii="Times New Roman" w:hAnsi="Times New Roman" w:eastAsia="微软雅黑"/>
          <w:b w:val="0"/>
          <w:color w:val="000000"/>
          <w:sz w:val="22"/>
        </w:rPr>
        <w:t>前13项保存的是容器管理的协作对象，字段均为private final，未发现对外返回这些依赖的接口。Mapper本身是数据库代理，拦截器须注册到MVC；复制这些对象不符合现有框架协作方式。因此在当前项目使用场景下判为误报，不据此改变构造器注入。</w:t>
      </w:r>
    </w:p>
    <w:p>
      <w:pPr/>
      <w:r>
        <w:rPr>
          <w:rFonts w:ascii="Times New Roman" w:hAnsi="Times New Roman" w:eastAsia="微软雅黑"/>
          <w:b w:val="0"/>
          <w:color w:val="000000"/>
          <w:sz w:val="22"/>
        </w:rPr>
        <w:t>另外2项涉及ObjectMapper和StringRedisTemplate。项目使用它们进行JSON转换和Redis数据访问，未发现运行期重新配置连接工厂、序列化器或JSON规则的调用，但对象共享与配置可变性客观存在。因此这2项不计为误报，保留当前设计风险：组件应在初始化时完成配置，开始处理请求后不得随意重配置。若后续增加动态配置功能，应重新评估并明确隔离方式。</w:t>
      </w:r>
    </w:p>
    <w:p>
      <w:pPr/>
      <w:r>
        <w:rPr>
          <w:rFonts w:ascii="Times New Roman" w:hAnsi="Times New Roman" w:eastAsia="微软雅黑"/>
          <w:b w:val="0"/>
          <w:color w:val="000000"/>
          <w:sz w:val="22"/>
        </w:rPr>
        <w:t>误报率按“误报数除以已核查告警数”计算，为13/15=86.7%；设计风险为2项，确认需要修复的源码缺陷为0项。该比例仅针对本次EI_EXPOSE_REP2告警，不表示SpotBugs整体准确率。阿里规约未产生告警，误报率不适用。</w:t>
      </w:r>
    </w:p>
    <w:p>
      <w:pPr>
        <w:keepNext/>
        <w:spacing w:before="180"/>
      </w:pPr>
      <w:r>
        <w:rPr>
          <w:rFonts w:ascii="Times New Roman" w:hAnsi="Times New Roman" w:eastAsia="微软雅黑"/>
          <w:b/>
          <w:color w:val="000000"/>
          <w:sz w:val="26"/>
        </w:rPr>
        <w:t>4 历史修正与结果衔接</w:t>
      </w:r>
    </w:p>
    <w:p>
      <w:pPr/>
      <w:r>
        <w:rPr>
          <w:rFonts w:ascii="Times New Roman" w:hAnsi="Times New Roman" w:eastAsia="微软雅黑"/>
          <w:b w:val="0"/>
          <w:color w:val="000000"/>
          <w:sz w:val="22"/>
        </w:rPr>
        <w:t>此前阿里规约扫描发现208项不符合，涉及接口Javadoc、作者标注、常量、集合容量和方法长度；完成修正后复查为0项。本次重新扫描仍为0项，说明当前代码在同一组已启用规则下保持原有结果。</w:t>
      </w:r>
    </w:p>
    <w:p>
      <w:pPr/>
      <w:r>
        <w:rPr>
          <w:rFonts w:ascii="Times New Roman" w:hAnsi="Times New Roman" w:eastAsia="微软雅黑"/>
          <w:b w:val="0"/>
          <w:color w:val="000000"/>
          <w:sz w:val="22"/>
        </w:rPr>
        <w:t>2026年10月8日，代码整改后的96项既有单元测试全部通过。10月11日使用官方SpotBugs 4.10.4对Java 17编译结果进行分析，发现15项共享依赖引用告警，核查结论见第3节。</w:t>
      </w:r>
    </w:p>
    <w:p>
      <w:pPr/>
      <w:r>
        <w:rPr>
          <w:rFonts w:ascii="Times New Roman" w:hAnsi="Times New Roman" w:eastAsia="微软雅黑"/>
          <w:b w:val="0"/>
          <w:color w:val="000000"/>
          <w:sz w:val="22"/>
        </w:rPr>
        <w:t>10月11日的补充分析未涉及业务源码修改；单元测试采用10月8日的回归结果，覆盖率沿用实验3的数据。</w:t>
      </w:r>
    </w:p>
    <w:p>
      <w:pPr>
        <w:keepNext/>
        <w:spacing w:before="180"/>
      </w:pPr>
      <w:r>
        <w:rPr>
          <w:rFonts w:ascii="Times New Roman" w:hAnsi="Times New Roman" w:eastAsia="微软雅黑"/>
          <w:b/>
          <w:color w:val="000000"/>
          <w:sz w:val="26"/>
        </w:rPr>
        <w:t>5 实验总结</w:t>
      </w:r>
    </w:p>
    <w:p>
      <w:pPr/>
      <w:r>
        <w:rPr>
          <w:rFonts w:ascii="Times New Roman" w:hAnsi="Times New Roman" w:eastAsia="微软雅黑"/>
          <w:b w:val="0"/>
          <w:color w:val="000000"/>
          <w:sz w:val="22"/>
        </w:rPr>
        <w:t>本次完成了两种工具的检测、告警核查与复查。阿里规约检查未发现新的不符合项；SpotBugs的15项告警中，13项属于当前框架场景下的误报，2项作为共享组件设计风险保留。后续维护应关注共享组件的配置稳定性，并结合其他测试方法继续检查静态分析范围之外的问题。</w:t>
      </w:r>
    </w:p>
    <w:sectPr w:rsidR="00FC693F" w:rsidRPr="0006063C" w:rsidSect="00034616">
      <w:pgSz w:w="12240" w:h="15840"/>
      <w:pgMar w:top="1134" w:right="1191" w:bottom="1134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4" w:lineRule="auto" w:after="120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title/>
  <dc:subject/>
  <dc:creator/>
  <ns0:keywords/>
  <dc:description/>
  <ns0:lastModifiedBy/>
  <ns0:revision>1</ns0:revision>
  <ns2:created xsi:type="dcterms:W3CDTF">2013-12-23T23:15:00Z</ns2:created>
  <ns2:modified xsi:type="dcterms:W3CDTF">2013-12-23T23:15:00Z</ns2:modified>
  <ns0:category/>
</ns0:coreProperties>
</file>