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300"/>
      </w:pPr>
      <w:r>
        <w:rPr>
          <w:rFonts w:ascii="Times New Roman" w:hAnsi="Times New Roman" w:eastAsia="微软雅黑"/>
          <w:b/>
          <w:color w:val="000000"/>
          <w:sz w:val="40"/>
        </w:rPr>
        <w:t>实验5 接口测试实验报告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课程：软件测试与质量保证    小组：第22组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测试对象：Keyboard MES后端    实验日期：2026年10月7日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1 实验目的与测试范围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依据课程上机5安排，本实验使用Postman集合组织接口测试，通过Newman执行并统计结果。业务测试覆盖工单、生产任务和生产报表三类服务，并补充登录、退出及异常状态验证。最终执行10个请求、20项断言，全部通过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2 环境与测试设计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测试复用已有keyboard_mes_lab2隔离数据库，后端运行于本机8088端口。为避免影响共享缓存，本次使用独立Redis实例和端口16379。测试仅查询业务数据，并创建和结束测试登录会话，没有创建工单、报工或质检记录。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Postman集合采用v2.1格式，Newman版本为6.2.1。登录成功后提取会话标识，作为后续请求的Authorization值；工单列表返回的首个编号作为详情查询输入，避免固定依赖某个业务编号。账号和密码在执行时传入，共享集合中的默认值为空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3 用例与结果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/>
        </w:trPr>
        <w:tc>
          <w:tcPr>
            <w:tcW w:type="dxa" w:w="3286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测试内容</w:t>
            </w:r>
          </w:p>
        </w:tc>
        <w:tc>
          <w:tcPr>
            <w:tcW w:type="dxa" w:w="3286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主要验证点</w:t>
            </w:r>
          </w:p>
        </w:tc>
        <w:tc>
          <w:tcPr>
            <w:tcW w:type="dxa" w:w="3286"/>
            <w:shd w:fill="DCE6F1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健康检查与登录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服务状态、业务成功码、会话标识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工单列表与详情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列表非空、关键字段、数量及详情编号一致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生产任务列表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列表结构、工单关联和状态范围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生产概览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报工数量及质量指标结构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周质量报表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周期为week、趋势数据包含7天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不存在的工单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业务错误码与空数据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退出与退出后查询</w:t>
            </w:r>
          </w:p>
        </w:tc>
        <w:tc>
          <w:tcPr>
            <w:tcW w:type="dxa" w:w="3286"/>
          </w:tcPr>
          <w:p>
            <w:pPr>
              <w:keepNext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退出成功、失效会话返回未登录状态</w:t>
            </w:r>
          </w:p>
        </w:tc>
        <w:tc>
          <w:tcPr>
            <w:tcW w:type="dxa" w:w="3286"/>
          </w:tcPr>
          <w:p>
            <w:pPr>
              <w:keepNext w:val="0"/>
              <w:keepLines/>
              <w:spacing w:after="60" w:before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通过</w:t>
            </w:r>
          </w:p>
        </w:tc>
      </w:tr>
    </w:tbl>
    <w:p/>
    <w:p>
      <w:r>
        <w:rPr>
          <w:rFonts w:ascii="Times New Roman" w:hAnsi="Times New Roman" w:eastAsia="微软雅黑"/>
          <w:b w:val="0"/>
          <w:color w:val="000000"/>
          <w:sz w:val="22"/>
        </w:rPr>
        <w:t>验证同时检查HTTP状态和业务响应，避免仅凭HTTP 200判定通过。例如，不存在工单和退出后的会话查询都以HTTP 200返回，但业务码分别为500和401，断言按接口实际契约判断。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首次执行时，质量趋势断言误用了trend字段。核对接口实现后改为trendData，并检查其长度为7；这是测试脚本修正，没有作为系统缺陷登记。修正后重新执行完整集合，最终10个请求、20项断言均通过，失败数为0。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4 结果分析与总结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本次验证表明，在现有隔离库数据和管理员测试会话下，三类业务查询及所测会话操作符合预期。集合通过动态编号提取和会话变量传递串联请求，并使用业务断言检查响应，可作为后续接口回归的基础。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测试范围限于本次查询和会话场景，尚未覆盖业务写入、所有角色权限和全部接口组合，不能据此判断整个系统测试通过。下一步可围绕工单状态变化和不同角色增加独立用例，并保留相应数据清理安排。</w:t>
      </w:r>
    </w:p>
    <w:sectPr w:rsidR="00FC693F" w:rsidRPr="0006063C" w:rsidSect="00034616">
      <w:footerReference w:type="default" r:id="rId9"/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微软雅黑"/>
        <w:b w:val="0"/>
        <w:color w:val="666666"/>
        <w:sz w:val="18"/>
      </w:rPr>
      <w:t xml:space="preserve">软件测试与质量保证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2013-12-23T23:15:00Z</ns2:created>
  <ns2:modified xsi:type="dcterms:W3CDTF">2013-12-23T23:15:00Z</ns2:modified>
  <ns0:category/>
</ns0:coreProperties>
</file>