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59" w:lineRule="auto" w:after="100"/>
      </w:pPr>
      <w:r>
        <w:rPr>
          <w:rFonts w:ascii="Times New Roman" w:hAnsi="Times New Roman" w:eastAsia="微软雅黑"/>
          <w:b/>
          <w:color w:val="000000"/>
          <w:sz w:val="40"/>
        </w:rPr>
        <w:t>实验4 静态分析实验报告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课程：软件测试与质量保证    小组：第22组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测试对象：Keyboard MES后端    实验日期：2026年10月8日</w:t>
      </w:r>
    </w:p>
    <w:p>
      <w:pPr>
        <w:keepNext/>
        <w:spacing w:before="180" w:line="259" w:lineRule="auto" w:after="100"/>
      </w:pPr>
      <w:r>
        <w:rPr>
          <w:rFonts w:ascii="Times New Roman" w:hAnsi="Times New Roman" w:eastAsia="微软雅黑"/>
          <w:b/>
          <w:color w:val="000000"/>
          <w:sz w:val="26"/>
        </w:rPr>
        <w:t>1 实验目的与完成情况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本实验依据课程上机4安排，对后端代码进行编程规约检查和FindBugs缺陷检测，并核查告警、修正问题和复查结果。规约扫描覆盖72个Java源文件，初次发现208项不符合，完成修正后同范围复查为0项。FindBugs 3.0.1在完成解析器兼容适配后，对全部72个源文件对应的73个类进行了分析，初次发现8项告警，核查后修正7项源码问题，复查保留1项编译器生成代码的误报。</w:t>
      </w:r>
    </w:p>
    <w:p>
      <w:pPr>
        <w:keepNext/>
        <w:spacing w:before="180" w:line="259" w:lineRule="auto" w:after="100"/>
      </w:pPr>
      <w:r>
        <w:rPr>
          <w:rFonts w:ascii="Times New Roman" w:hAnsi="Times New Roman" w:eastAsia="微软雅黑"/>
          <w:b/>
          <w:color w:val="000000"/>
          <w:sz w:val="26"/>
        </w:rPr>
        <w:t>2 工具与分析方法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项目使用JDK 17，前期扫描使用Maven 3.9.11，本次收尾使用Maven 3.9.9。规约检查采用阿里P3C PMD规则2.1.1和PMD 6.55.0，覆盖异常、注释、命名、流程控制、集合等十组规则。仅补充消息资源所需的XML声明，规则实现保持原样。扫描日志有DFA迭代上限提示，XML未记录处理错误，结果仅代表已启用规则的检测范围。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FindBugs采用课程指定的3.0.1检测引擎。原始发行包不能直接解析Java 17字节码，本次在临时工具副本中更新ASM解析依赖和访问器API，未替换为SpotBugs，也未为兼容分析改写业务源码。扫描由JRE 8启动，并提供项目依赖和JDK 17平台类；两次均覆盖73个类，分析错误和缺失类数为0。该副本没有官方Java 17支持保证，旧检测器对新语法的理解仍有限。具体适配方法及早期失败记录另行留存。</w:t>
      </w:r>
    </w:p>
    <w:p>
      <w:pPr>
        <w:keepNext/>
        <w:spacing w:before="180" w:line="259" w:lineRule="auto" w:after="100"/>
      </w:pPr>
      <w:r>
        <w:rPr>
          <w:rFonts w:ascii="Times New Roman" w:hAnsi="Times New Roman" w:eastAsia="微软雅黑"/>
          <w:b/>
          <w:color w:val="000000"/>
          <w:sz w:val="26"/>
        </w:rPr>
        <w:t>3 告警核查与代码改进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逐项核查中，接口方法缺少Javadoc和类注释缺少作者标注均有明确代码依据；其余告警涉及常量命名、集合初始容量及方法长度，属于可读性和维护性问题。此次规约告警未判定出需要单独登记的业务功能缺陷。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/>
        </w:trPr>
        <w:tc>
          <w:tcPr>
            <w:tcW w:type="dxa" w:w="226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规约问题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初次数量</w:t>
            </w:r>
          </w:p>
        </w:tc>
        <w:tc>
          <w:tcPr>
            <w:tcW w:type="dxa" w:w="45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处理方式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/>
                <w:color w:val="000000"/>
                <w:sz w:val="20"/>
              </w:rPr>
              <w:t>复查数量</w:t>
            </w:r>
          </w:p>
        </w:tc>
      </w:tr>
      <w:tr>
        <w:tc>
          <w:tcPr>
            <w:tcW w:type="dxa" w:w="226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接口方法Javadoc不足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118</w:t>
            </w:r>
          </w:p>
        </w:tc>
        <w:tc>
          <w:tcPr>
            <w:tcW w:type="dxa" w:w="45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补充用途、参数和返回值说明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</w:tr>
      <w:tr>
        <w:tc>
          <w:tcPr>
            <w:tcW w:type="dxa" w:w="226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作者标注缺失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71</w:t>
            </w:r>
          </w:p>
        </w:tc>
        <w:tc>
          <w:tcPr>
            <w:tcW w:type="dxa" w:w="45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统一标注Keyboard MES项目组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</w:tr>
      <w:tr>
        <w:tc>
          <w:tcPr>
            <w:tcW w:type="dxa" w:w="226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常量未命名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16</w:t>
            </w:r>
          </w:p>
        </w:tc>
        <w:tc>
          <w:tcPr>
            <w:tcW w:type="dxa" w:w="45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提取请求方法、角色和周期等具名常量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</w:tr>
      <w:tr>
        <w:tc>
          <w:tcPr>
            <w:tcW w:type="dxa" w:w="226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集合未指定初始容量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2</w:t>
            </w:r>
          </w:p>
        </w:tc>
        <w:tc>
          <w:tcPr>
            <w:tcW w:type="dxa" w:w="45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按权限映射规模指定容量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</w:tr>
      <w:tr>
        <w:tc>
          <w:tcPr>
            <w:tcW w:type="dxa" w:w="226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方法超过建议长度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1</w:t>
            </w:r>
          </w:p>
        </w:tc>
        <w:tc>
          <w:tcPr>
            <w:tcW w:type="dxa" w:w="45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提取缺陷和趋势聚合方法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</w:tr>
      <w:tr>
        <w:tc>
          <w:tcPr>
            <w:tcW w:type="dxa" w:w="226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合计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208</w:t>
            </w:r>
          </w:p>
        </w:tc>
        <w:tc>
          <w:tcPr>
            <w:tcW w:type="dxa" w:w="45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完成同范围复查</w:t>
            </w:r>
          </w:p>
        </w:tc>
        <w:tc>
          <w:tcPr>
            <w:tcW w:type="dxa" w:w="113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rFonts w:ascii="Times New Roman" w:hAnsi="Times New Roman" w:eastAsia="微软雅黑"/>
                <w:b w:val="0"/>
                <w:color w:val="000000"/>
                <w:sz w:val="20"/>
              </w:rPr>
              <w:t>0</w:t>
            </w:r>
          </w:p>
        </w:tc>
      </w:tr>
    </w:tbl>
    <w:p>
      <w:pPr>
        <w:spacing w:line="259" w:lineRule="auto" w:after="100"/>
      </w:pP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以生产质量报表的quality方法为例，原方法集中处理缺陷分类和日趋势统计，长度超过80行。改进后分别由buildDefectMap和buildTrendMap完成对应聚合，原计算顺序、筛选条件及返回结构保持一致。权限拦截器中的HTTP方法和路径模式也改为具名常量，便于核对各角色允许访问的操作。</w:t>
      </w:r>
    </w:p>
    <w:p>
      <w:pPr>
        <w:keepNext/>
        <w:spacing w:before="180" w:line="259" w:lineRule="auto" w:after="100"/>
      </w:pPr>
      <w:r>
        <w:rPr>
          <w:rFonts w:ascii="Times New Roman" w:hAnsi="Times New Roman" w:eastAsia="微软雅黑"/>
          <w:b/>
          <w:color w:val="000000"/>
          <w:sz w:val="26"/>
        </w:rPr>
        <w:t>4 复查与误报率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P3C告警208项均完成核查，确认规约不符合208项，误报0项，按“误报数除以已核查告警数”计算，误报率为0%。该比例仅针对本次规约告警，不表示检测工具能够发现所有代码问题。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FindBugs的8项告警均完成源码核查。其中，默认地区下的大小写转换2项、无必要的拆装箱3项、匿名类捕获外部实例1项、不可达空值分支1项，共7项确认问题已修正。标识符转换改用Locale.ROOT；三元表达式统一包装类型；JSON类型描述改为具名静态嵌套类；删除始终非空资源名称后的无效判断。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剩余1项告警位于Redis启动检查的try-with-resources语句，涉及编译器生成的资源关闭空值检查。源码没有对应的手工空值判断，保留自动关闭语义更为妥当，因此判为本次源码修复范围中的误报。误报率为1/8=12.5%。同范围复查由8项降至1项，7项确认问题均未再次出现；未使用排除规则隐藏剩余告警。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代码改进后执行现有19个测试类的96项单元测试，全部通过，失败、错误及跳过均为0。2026年10月8日最终回归采用Maven 3.9.9离线模式和同一JVM运行，并关闭JaCoCo采集；此次仅验证现有行为，未形成新的覆盖率结论。阿里规约同范围再次扫描仍为0项告警。</w:t>
      </w:r>
    </w:p>
    <w:p>
      <w:pPr>
        <w:keepNext/>
        <w:spacing w:before="180" w:line="259" w:lineRule="auto" w:after="100"/>
      </w:pPr>
      <w:r>
        <w:rPr>
          <w:rFonts w:ascii="Times New Roman" w:hAnsi="Times New Roman" w:eastAsia="微软雅黑"/>
          <w:b/>
          <w:color w:val="000000"/>
          <w:sz w:val="26"/>
        </w:rPr>
        <w:t>5 实验总结</w:t>
      </w:r>
    </w:p>
    <w:p>
      <w:pPr>
        <w:spacing w:line="259" w:lineRule="auto" w:after="100"/>
      </w:pPr>
      <w:r>
        <w:rPr>
          <w:rFonts w:ascii="Times New Roman" w:hAnsi="Times New Roman" w:eastAsia="微软雅黑"/>
          <w:b w:val="0"/>
          <w:color w:val="000000"/>
          <w:sz w:val="22"/>
        </w:rPr>
        <w:t>规约检查推动了接口说明、常量命名和报表方法结构的改进，复查未再报出本次规则中的不符合项。FindBugs已通过明确记录的兼容适配完成全范围扫描、核查、修正和复查，原版直接运行的兼容性限制仍需在使用时说明。工具输出应结合源码核查使用，规约问题与业务缺陷需分别理解。</w:t>
      </w:r>
    </w:p>
    <w:sectPr w:rsidR="00FC693F" w:rsidRPr="0006063C" w:rsidSect="00034616">
      <w:pgSz w:w="12240" w:h="15840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4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