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Times New Roman" w:hAnsi="Times New Roman" w:eastAsia="微软雅黑" w:cs="Times New Roman"/>
          <w:b/>
          <w:color w:val="000000"/>
          <w:sz w:val="44"/>
        </w:rPr>
        <w:t>Keyboard MES 系统测试报告</w:t>
      </w:r>
    </w:p>
    <w:p>
      <w:pPr>
        <w:spacing w:after="60"/>
        <w:jc w:val="center"/>
      </w:pPr>
      <w:r>
        <w:rPr>
          <w:rFonts w:ascii="Times New Roman" w:hAnsi="Times New Roman" w:eastAsia="微软雅黑" w:cs="Times New Roman"/>
          <w:b w:val="0"/>
          <w:color w:val="526273"/>
          <w:sz w:val="21"/>
        </w:rPr>
        <w:t>课程：软件测试与质量保证　　实验：上机2 软件测试管理　　项目：第22组</w:t>
      </w:r>
    </w:p>
    <w:p>
      <w:pPr>
        <w:spacing w:after="60"/>
        <w:jc w:val="center"/>
      </w:pPr>
      <w:r>
        <w:rPr>
          <w:rFonts w:ascii="Times New Roman" w:hAnsi="Times New Roman" w:eastAsia="微软雅黑" w:cs="Times New Roman"/>
          <w:b w:val="0"/>
          <w:color w:val="526273"/>
          <w:sz w:val="21"/>
        </w:rPr>
        <w:t>测试对象：Keyboard MES 键盘装配制造执行系统</w:t>
      </w:r>
    </w:p>
    <w:p>
      <w:pPr>
        <w:spacing w:after="60"/>
        <w:jc w:val="center"/>
      </w:pPr>
      <w:r>
        <w:rPr>
          <w:rFonts w:ascii="Times New Roman" w:hAnsi="Times New Roman" w:eastAsia="微软雅黑" w:cs="Times New Roman"/>
          <w:b w:val="0"/>
          <w:color w:val="526273"/>
          <w:sz w:val="21"/>
        </w:rPr>
        <w:t>测试计划与构建：Keyboard MES 系统测试计划 v1.0　/　LAB2-B01　　测试日期：2026年9月22日</w:t>
      </w:r>
    </w:p>
    <w:p>
      <w:pPr>
        <w:spacing w:after="60"/>
        <w:jc w:val="center"/>
      </w:pPr>
      <w:r>
        <w:rPr>
          <w:rFonts w:ascii="Times New Roman" w:hAnsi="Times New Roman" w:eastAsia="微软雅黑"/>
          <w:b w:val="0"/>
          <w:color w:val="000000"/>
          <w:sz w:val="22"/>
        </w:rPr>
        <w:t>结果统计截至：2026年9月23日　　文档修订：2026年10月11日</w:t>
      </w:r>
    </w:p>
    <w:p>
      <w:pPr>
        <w:spacing w:after="0"/>
      </w:pPr>
    </w:p>
    <w:p>
      <w:pPr>
        <w:spacing w:before="20" w:after="60"/>
      </w:pPr>
      <w:r>
        <w:rPr>
          <w:rFonts w:ascii="Times New Roman" w:hAnsi="Times New Roman" w:eastAsia="微软雅黑" w:cs="Times New Roman"/>
          <w:b/>
          <w:color w:val="17365D"/>
          <w:sz w:val="20"/>
        </w:rPr>
        <w:t>小组成员</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042"/>
        <w:gridCol w:w="5390"/>
      </w:tblGrid>
      <w:tr>
        <w:trPr>
          <w:cantSplit/>
          <w:tblHeader w:val="true"/>
        </w:trPr>
        <w:tc>
          <w:tcPr>
            <w:tcW w:type="dxa" w:w="4042"/>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8"/>
              </w:rPr>
              <w:t>姓名</w:t>
            </w:r>
          </w:p>
        </w:tc>
        <w:tc>
          <w:tcPr>
            <w:tcW w:type="dxa" w:w="5390"/>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8"/>
              </w:rPr>
              <w:t>学号</w:t>
            </w:r>
          </w:p>
        </w:tc>
      </w:tr>
      <w:tr>
        <w:trPr>
          <w:cantSplit/>
        </w:trPr>
        <w:tc>
          <w:tcPr>
            <w:tcW w:type="dxa" w:w="4042"/>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8"/>
              </w:rPr>
              <w:t>乔通</w:t>
            </w:r>
          </w:p>
        </w:tc>
        <w:tc>
          <w:tcPr>
            <w:tcW w:type="dxa" w:w="5390"/>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8"/>
              </w:rPr>
              <w:t>2407020419</w:t>
            </w:r>
          </w:p>
        </w:tc>
      </w:tr>
      <w:tr>
        <w:trPr>
          <w:cantSplit/>
        </w:trPr>
        <w:tc>
          <w:tcPr>
            <w:tcW w:type="dxa" w:w="4042"/>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8"/>
              </w:rPr>
              <w:t>李政良</w:t>
            </w:r>
          </w:p>
        </w:tc>
        <w:tc>
          <w:tcPr>
            <w:tcW w:type="dxa" w:w="5390"/>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8"/>
              </w:rPr>
              <w:t>2407020415</w:t>
            </w:r>
          </w:p>
        </w:tc>
      </w:tr>
      <w:tr>
        <w:trPr>
          <w:cantSplit/>
        </w:trPr>
        <w:tc>
          <w:tcPr>
            <w:tcW w:type="dxa" w:w="4042"/>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8"/>
              </w:rPr>
              <w:t>昝泓志</w:t>
            </w:r>
          </w:p>
        </w:tc>
        <w:tc>
          <w:tcPr>
            <w:tcW w:type="dxa" w:w="5390"/>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8"/>
              </w:rPr>
              <w:t>2407020416</w:t>
            </w:r>
          </w:p>
        </w:tc>
      </w:tr>
      <w:tr>
        <w:trPr>
          <w:cantSplit/>
        </w:trPr>
        <w:tc>
          <w:tcPr>
            <w:tcW w:type="dxa" w:w="4042"/>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8"/>
              </w:rPr>
              <w:t>徐西岳</w:t>
            </w:r>
          </w:p>
        </w:tc>
        <w:tc>
          <w:tcPr>
            <w:tcW w:type="dxa" w:w="5390"/>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8"/>
              </w:rPr>
              <w:t>2407020417</w:t>
            </w:r>
          </w:p>
        </w:tc>
      </w:tr>
      <w:tr>
        <w:trPr>
          <w:cantSplit/>
        </w:trPr>
        <w:tc>
          <w:tcPr>
            <w:tcW w:type="dxa" w:w="4042"/>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8"/>
              </w:rPr>
              <w:t>王佳欣</w:t>
            </w:r>
          </w:p>
        </w:tc>
        <w:tc>
          <w:tcPr>
            <w:tcW w:type="dxa" w:w="5390"/>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8"/>
              </w:rPr>
              <w:t>2407020407</w:t>
            </w:r>
          </w:p>
        </w:tc>
      </w:tr>
    </w:tbl>
    <w:p>
      <w:pPr>
        <w:spacing w:after="20" w:before="0"/>
      </w:pPr>
    </w:p>
    <w:p>
      <w:pPr>
        <w:spacing w:after="0"/>
      </w:pPr>
    </w:p>
    <w:p>
      <w:pPr>
        <w:pStyle w:val="Heading1"/>
      </w:pPr>
      <w:r>
        <w:rPr>
          <w:color w:val="000000"/>
        </w:rPr>
        <w:t>一、测试概况</w:t>
      </w:r>
    </w:p>
    <w:p>
      <w:pPr>
        <w:widowControl/>
        <w:ind w:firstLine="397"/>
      </w:pPr>
      <w:r>
        <w:rPr>
          <w:rFonts w:ascii="Times New Roman" w:hAnsi="Times New Roman" w:eastAsia="微软雅黑" w:cs="Times New Roman"/>
          <w:b w:val="0"/>
          <w:color w:val="243447"/>
          <w:sz w:val="21"/>
        </w:rPr>
        <w:t>本报告记录 Keyboard MES 在隔离环境中的系统测试执行情况。测试对象覆盖 Web 管理端、微信小程序现场端、Spring Boot 后端及 MySQL、Redis 集成行为，围绕登录与岗位权限、基础资料、工单任务、报工、检验、返修复检、SN 追溯、统计报表和质量特性开展验证。</w:t>
      </w:r>
    </w:p>
    <w:p>
      <w:pPr>
        <w:widowControl/>
        <w:ind w:firstLine="397"/>
      </w:pPr>
      <w:r>
        <w:rPr>
          <w:rFonts w:ascii="Times New Roman" w:hAnsi="Times New Roman" w:eastAsia="微软雅黑" w:cs="Times New Roman"/>
          <w:b w:val="0"/>
          <w:color w:val="243447"/>
          <w:sz w:val="21"/>
        </w:rPr>
        <w:t>本轮测试按 TestLink 测试计划 v1.0、构建 LAB2-B01 执行。计划包含 52 项需求和 76 项用例，其中 36 项功能测试、40 项质量专项。报告同时区分 TestLink 状态记录覆盖率、执行完成率和用例通过率，BLOCKED 不计为已完成或通过。</w:t>
      </w:r>
    </w:p>
    <w:p>
      <w:pPr>
        <w:pStyle w:val="Heading2"/>
      </w:pPr>
      <w:r>
        <w:rPr>
          <w:color w:val="000000"/>
        </w:rPr>
        <w:t>1.1 测试依据与范围</w:t>
      </w:r>
    </w:p>
    <w:p>
      <w:pPr>
        <w:widowControl/>
        <w:ind w:firstLine="397"/>
      </w:pPr>
      <w:r>
        <w:rPr>
          <w:rFonts w:ascii="Times New Roman" w:hAnsi="Times New Roman" w:eastAsia="微软雅黑" w:cs="Times New Roman"/>
          <w:b w:val="0"/>
          <w:color w:val="243447"/>
          <w:sz w:val="21"/>
        </w:rPr>
        <w:t>主要依据为课程上机安排及上机2任务说明、Keyboard MES 需求规约、上机1质量需求设计、系统测试计划 v1.0、系统测试用例和需求追踪矩阵。功能验证关注业务状态、数量约束、权限和数据一致性；质量专项覆盖功能适用性、性能效率、兼容性、交互性、可靠性、安全性、可维护性、灵活性和保护性。</w:t>
      </w:r>
    </w:p>
    <w:p>
      <w:pPr>
        <w:widowControl/>
        <w:ind w:firstLine="397"/>
      </w:pPr>
      <w:r>
        <w:rPr>
          <w:rFonts w:ascii="Times New Roman" w:hAnsi="Times New Roman" w:eastAsia="微软雅黑" w:cs="Times New Roman"/>
          <w:b w:val="0"/>
          <w:color w:val="243447"/>
          <w:sz w:val="21"/>
        </w:rPr>
        <w:t>测试范围不包括与真实 ERP、PLC、实体检测设备、安全联锁的端到端集成；需要真人、真机或长期观察的项目按实际条件保留阻塞状态。</w:t>
      </w:r>
    </w:p>
    <w:p>
      <w:pPr>
        <w:pStyle w:val="Heading1"/>
      </w:pPr>
      <w:r>
        <w:rPr>
          <w:color w:val="000000"/>
        </w:rPr>
        <w:t>二、测试环境与管理配置</w:t>
      </w:r>
    </w:p>
    <w:p>
      <w:pPr>
        <w:pStyle w:val="Heading2"/>
      </w:pPr>
      <w:r>
        <w:rPr>
          <w:color w:val="000000"/>
        </w:rPr>
        <w:t>2.1 软件与数据环境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4"/>
        <w:gridCol w:w="7168"/>
      </w:tblGrid>
      <w:tr>
        <w:trPr>
          <w:cantSplit/>
          <w:tblHeader w:val="true"/>
        </w:trPr>
        <w:tc>
          <w:tcPr>
            <w:tcW w:type="dxa" w:w="2264"/>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7"/>
              </w:rPr>
              <w:t>项目</w:t>
            </w:r>
          </w:p>
        </w:tc>
        <w:tc>
          <w:tcPr>
            <w:tcW w:type="dxa" w:w="7168"/>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7"/>
              </w:rPr>
              <w:t>实际配置</w:t>
            </w:r>
          </w:p>
        </w:tc>
      </w:tr>
      <w:tr>
        <w:trPr>
          <w:cantSplit/>
        </w:trPr>
        <w:tc>
          <w:tcPr>
            <w:tcW w:type="dxa" w:w="2264"/>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操作系统与运行时</w:t>
            </w:r>
          </w:p>
        </w:tc>
        <w:tc>
          <w:tcPr>
            <w:tcW w:type="dxa" w:w="716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Windows 11；JDK 17；Spring Boot（Maven）；Vue 3 + Vite</w:t>
            </w:r>
          </w:p>
        </w:tc>
      </w:tr>
      <w:tr>
        <w:trPr>
          <w:cantSplit/>
        </w:trPr>
        <w:tc>
          <w:tcPr>
            <w:tcW w:type="dxa" w:w="2264"/>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业务数据服务</w:t>
            </w:r>
          </w:p>
        </w:tc>
        <w:tc>
          <w:tcPr>
            <w:tcW w:type="dxa" w:w="716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MySQL 8.4.3；Redis 5.0.14，逻辑库 15</w:t>
            </w:r>
          </w:p>
        </w:tc>
      </w:tr>
      <w:tr>
        <w:trPr>
          <w:cantSplit/>
        </w:trPr>
        <w:tc>
          <w:tcPr>
            <w:tcW w:type="dxa" w:w="2264"/>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隔离数据库</w:t>
            </w:r>
          </w:p>
        </w:tc>
        <w:tc>
          <w:tcPr>
            <w:tcW w:type="dxa" w:w="716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keyboard_mes_lab2；测试数据与原有业务库隔离</w:t>
            </w:r>
          </w:p>
        </w:tc>
      </w:tr>
      <w:tr>
        <w:trPr>
          <w:cantSplit/>
        </w:trPr>
        <w:tc>
          <w:tcPr>
            <w:tcW w:type="dxa" w:w="2264"/>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测试管理工具</w:t>
            </w:r>
          </w:p>
        </w:tc>
        <w:tc>
          <w:tcPr>
            <w:tcW w:type="dxa" w:w="716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TestLink 1.9.20 fixed；XAMPP Apache 2.4.58；PHP 8.2.12</w:t>
            </w:r>
          </w:p>
        </w:tc>
      </w:tr>
      <w:tr>
        <w:trPr>
          <w:cantSplit/>
        </w:trPr>
        <w:tc>
          <w:tcPr>
            <w:tcW w:type="dxa" w:w="2264"/>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TestLink 数据库</w:t>
            </w:r>
          </w:p>
        </w:tc>
        <w:tc>
          <w:tcPr>
            <w:tcW w:type="dxa" w:w="716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testlink_lab2；MES 测试计划 ID=108，构建 LAB2-B01</w:t>
            </w:r>
          </w:p>
        </w:tc>
      </w:tr>
      <w:tr>
        <w:trPr>
          <w:cantSplit/>
        </w:trPr>
        <w:tc>
          <w:tcPr>
            <w:tcW w:type="dxa" w:w="2264"/>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代码基线</w:t>
            </w:r>
          </w:p>
        </w:tc>
        <w:tc>
          <w:tcPr>
            <w:tcW w:type="dxa" w:w="716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MES 代码提交号未在执行报告中留存，复现实验时需补录</w:t>
            </w:r>
          </w:p>
        </w:tc>
      </w:tr>
    </w:tbl>
    <w:p>
      <w:pPr>
        <w:spacing w:after="20" w:before="0"/>
      </w:pPr>
    </w:p>
    <w:p>
      <w:pPr>
        <w:widowControl/>
      </w:pPr>
      <w:r>
        <w:rPr>
          <w:rFonts w:ascii="Times New Roman" w:hAnsi="Times New Roman" w:eastAsia="微软雅黑"/>
          <w:b w:val="0"/>
          <w:color w:val="000000"/>
          <w:sz w:val="22"/>
        </w:rPr>
        <w:t>执行期间使用独立测试数据库；复测前应确认服务状态、数据库连接与测试数据符合环境要求。</w:t>
      </w:r>
    </w:p>
    <w:p>
      <w:pPr>
        <w:pStyle w:val="Heading2"/>
      </w:pPr>
      <w:r>
        <w:rPr>
          <w:color w:val="000000"/>
        </w:rPr>
        <w:t>2.2 TestLink 项目与追踪关系</w:t>
      </w:r>
    </w:p>
    <w:p>
      <w:pPr>
        <w:widowControl/>
        <w:ind w:firstLine="397"/>
      </w:pPr>
      <w:r>
        <w:rPr>
          <w:rFonts w:ascii="Times New Roman" w:hAnsi="Times New Roman" w:eastAsia="微软雅黑" w:cs="Times New Roman"/>
          <w:b w:val="0"/>
          <w:color w:val="243447"/>
          <w:sz w:val="21"/>
        </w:rPr>
        <w:t>TestLink 项目为“Keyboard MES 系统测试”，前缀 KMES。需求规格 KMES-SRS 导入 52 项需求；功能测试和质量专项两个用例集共导入 76 项用例；需求与用例追踪关系逐项核对。测试计划 ID=108，执行构建为 LAB2-B01。</w:t>
      </w:r>
    </w:p>
    <w:p>
      <w:pPr>
        <w:keepLines/>
        <w:spacing w:before="60" w:after="40"/>
        <w:jc w:val="center"/>
      </w:pPr>
      <w:r>
        <w:drawing>
          <wp:inline xmlns:a="http://schemas.openxmlformats.org/drawingml/2006/main" xmlns:pic="http://schemas.openxmlformats.org/drawingml/2006/picture">
            <wp:extent cx="5688000" cy="2574682"/>
            <wp:docPr id="1" name="Picture 1"/>
            <wp:cNvGraphicFramePr>
              <a:graphicFrameLocks noChangeAspect="1"/>
            </wp:cNvGraphicFramePr>
            <a:graphic>
              <a:graphicData uri="http://schemas.openxmlformats.org/drawingml/2006/picture">
                <pic:pic>
                  <pic:nvPicPr>
                    <pic:cNvPr id="0" name="05_需求覆盖.png"/>
                    <pic:cNvPicPr/>
                  </pic:nvPicPr>
                  <pic:blipFill>
                    <a:blip r:embed="rId10"/>
                    <a:stretch>
                      <a:fillRect/>
                    </a:stretch>
                  </pic:blipFill>
                  <pic:spPr>
                    <a:xfrm>
                      <a:off x="0" y="0"/>
                      <a:ext cx="5688000" cy="2574682"/>
                    </a:xfrm>
                    <a:prstGeom prst="rect"/>
                  </pic:spPr>
                </pic:pic>
              </a:graphicData>
            </a:graphic>
          </wp:inline>
        </w:drawing>
      </w:r>
    </w:p>
    <w:p>
      <w:pPr>
        <w:keepNext w:val="0"/>
        <w:spacing w:before="0" w:after="140"/>
        <w:jc w:val="center"/>
      </w:pPr>
      <w:r>
        <w:rPr>
          <w:rFonts w:ascii="Times New Roman" w:hAnsi="Times New Roman" w:eastAsia="微软雅黑" w:cs="Times New Roman"/>
          <w:color w:val="526273"/>
          <w:sz w:val="18"/>
        </w:rPr>
        <w:t>图1　TestLink 需求覆盖视图：52 项需求均关联了测试用例</w:t>
      </w:r>
    </w:p>
    <w:p>
      <w:pPr>
        <w:pStyle w:val="Heading1"/>
      </w:pPr>
      <w:r>
        <w:rPr>
          <w:color w:val="000000"/>
        </w:rPr>
        <w:t>三、执行结果与覆盖情况</w:t>
      </w:r>
    </w:p>
    <w:p>
      <w:pPr>
        <w:pStyle w:val="Heading2"/>
      </w:pPr>
      <w:r>
        <w:rPr>
          <w:color w:val="000000"/>
        </w:rPr>
        <w:t>3.1 总体执行统计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8"/>
        <w:gridCol w:w="1998"/>
        <w:gridCol w:w="5435"/>
      </w:tblGrid>
      <w:tr>
        <w:trPr>
          <w:cantSplit/>
          <w:tblHeader w:val="true"/>
        </w:trPr>
        <w:tc>
          <w:tcPr>
            <w:tcW w:type="dxa" w:w="1998"/>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7"/>
              </w:rPr>
              <w:t>指标</w:t>
            </w:r>
          </w:p>
        </w:tc>
        <w:tc>
          <w:tcPr>
            <w:tcW w:type="dxa" w:w="1998"/>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7"/>
              </w:rPr>
              <w:t>结果</w:t>
            </w:r>
          </w:p>
        </w:tc>
        <w:tc>
          <w:tcPr>
            <w:tcW w:type="dxa" w:w="5435"/>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7"/>
              </w:rPr>
              <w:t>统计口径</w:t>
            </w:r>
          </w:p>
        </w:tc>
      </w:tr>
      <w:tr>
        <w:trPr>
          <w:cantSplit/>
        </w:trPr>
        <w:tc>
          <w:tcPr>
            <w:tcW w:type="dxa" w:w="199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需求追踪覆盖</w:t>
            </w:r>
          </w:p>
        </w:tc>
        <w:tc>
          <w:tcPr>
            <w:tcW w:type="dxa" w:w="199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52/52 = 100%</w:t>
            </w:r>
          </w:p>
        </w:tc>
        <w:tc>
          <w:tcPr>
            <w:tcW w:type="dxa" w:w="543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52 项纳入需求均至少关联一条有效用例</w:t>
            </w:r>
          </w:p>
        </w:tc>
      </w:tr>
      <w:tr>
        <w:trPr>
          <w:cantSplit/>
        </w:trPr>
        <w:tc>
          <w:tcPr>
            <w:tcW w:type="dxa" w:w="199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状态记录覆盖</w:t>
            </w:r>
          </w:p>
        </w:tc>
        <w:tc>
          <w:tcPr>
            <w:tcW w:type="dxa" w:w="199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76/76 = 100%</w:t>
            </w:r>
          </w:p>
        </w:tc>
        <w:tc>
          <w:tcPr>
            <w:tcW w:type="dxa" w:w="543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所有计划用例均有 PASS、FAIL 或 BLOCKED 状态</w:t>
            </w:r>
          </w:p>
        </w:tc>
      </w:tr>
      <w:tr>
        <w:trPr>
          <w:cantSplit/>
        </w:trPr>
        <w:tc>
          <w:tcPr>
            <w:tcW w:type="dxa" w:w="199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执行完成率</w:t>
            </w:r>
          </w:p>
        </w:tc>
        <w:tc>
          <w:tcPr>
            <w:tcW w:type="dxa" w:w="199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59/76 = 77.6%</w:t>
            </w:r>
          </w:p>
        </w:tc>
        <w:tc>
          <w:tcPr>
            <w:tcW w:type="dxa" w:w="543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(PASS + FAIL) / 计划用例数；BLOCKED 不计完成</w:t>
            </w:r>
          </w:p>
        </w:tc>
      </w:tr>
      <w:tr>
        <w:trPr>
          <w:cantSplit/>
        </w:trPr>
        <w:tc>
          <w:tcPr>
            <w:tcW w:type="dxa" w:w="199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用例总体通过率</w:t>
            </w:r>
          </w:p>
        </w:tc>
        <w:tc>
          <w:tcPr>
            <w:tcW w:type="dxa" w:w="199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59/76 = 77.6%</w:t>
            </w:r>
          </w:p>
        </w:tc>
        <w:tc>
          <w:tcPr>
            <w:tcW w:type="dxa" w:w="543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PASS / 计划用例数</w:t>
            </w:r>
          </w:p>
        </w:tc>
      </w:tr>
      <w:tr>
        <w:trPr>
          <w:cantSplit/>
        </w:trPr>
        <w:tc>
          <w:tcPr>
            <w:tcW w:type="dxa" w:w="199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已执行用例通过率</w:t>
            </w:r>
          </w:p>
        </w:tc>
        <w:tc>
          <w:tcPr>
            <w:tcW w:type="dxa" w:w="199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59/59 = 100%</w:t>
            </w:r>
          </w:p>
        </w:tc>
        <w:tc>
          <w:tcPr>
            <w:tcW w:type="dxa" w:w="543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PASS / (PASS + FAIL)，不代表全部范围已完成</w:t>
            </w:r>
          </w:p>
        </w:tc>
      </w:tr>
      <w:tr>
        <w:trPr>
          <w:cantSplit/>
        </w:trPr>
        <w:tc>
          <w:tcPr>
            <w:tcW w:type="dxa" w:w="199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失败用例</w:t>
            </w:r>
          </w:p>
        </w:tc>
        <w:tc>
          <w:tcPr>
            <w:tcW w:type="dxa" w:w="199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0 项</w:t>
            </w:r>
          </w:p>
        </w:tc>
        <w:tc>
          <w:tcPr>
            <w:tcW w:type="dxa" w:w="543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7"/>
              </w:rPr>
              <w:t>缺陷修复后关联用例均已回归通过</w:t>
            </w:r>
          </w:p>
        </w:tc>
      </w:tr>
      <w:tr>
        <w:trPr>
          <w:cantSplit/>
        </w:trPr>
        <w:tc>
          <w:tcPr>
            <w:tcW w:type="dxa" w:w="199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阻塞用例</w:t>
            </w:r>
          </w:p>
        </w:tc>
        <w:tc>
          <w:tcPr>
            <w:tcW w:type="dxa" w:w="199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17 项</w:t>
            </w:r>
          </w:p>
        </w:tc>
        <w:tc>
          <w:tcPr>
            <w:tcW w:type="dxa" w:w="543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7"/>
              </w:rPr>
              <w:t>因专项人员、设备、时间或环境条件不足未完成</w:t>
            </w:r>
          </w:p>
        </w:tc>
      </w:tr>
    </w:tbl>
    <w:p>
      <w:pPr>
        <w:spacing w:after="20" w:before="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3"/>
        <w:gridCol w:w="1517"/>
        <w:gridCol w:w="1517"/>
        <w:gridCol w:w="1517"/>
        <w:gridCol w:w="1711"/>
        <w:gridCol w:w="2236"/>
      </w:tblGrid>
      <w:tr>
        <w:trPr>
          <w:cantSplit/>
          <w:tblHeader w:val="true"/>
        </w:trPr>
        <w:tc>
          <w:tcPr>
            <w:tcW w:type="dxa" w:w="933"/>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5"/>
              </w:rPr>
              <w:t>测试类别</w:t>
            </w:r>
          </w:p>
        </w:tc>
        <w:tc>
          <w:tcPr>
            <w:tcW w:type="dxa" w:w="1517"/>
            <w:vAlign w:val="center"/>
            <w:tcMar>
              <w:top w:w="100" w:type="dxa"/>
              <w:start w:w="115" w:type="dxa"/>
              <w:bottom w:w="100" w:type="dxa"/>
              <w:end w:w="115" w:type="dxa"/>
            </w:tcMar>
            <w:shd w:fill="17365D"/>
          </w:tcPr>
          <w:p>
            <w:pPr>
              <w:keepNext/>
              <w:spacing w:before="0" w:after="0" w:line="269" w:lineRule="auto"/>
              <w:jc w:val="center"/>
            </w:pPr>
            <w:r>
              <w:rPr>
                <w:rFonts w:ascii="Times New Roman" w:hAnsi="Times New Roman" w:eastAsia="微软雅黑" w:cs="Times New Roman"/>
                <w:b/>
                <w:color w:val="FFFFFF"/>
                <w:sz w:val="15"/>
              </w:rPr>
              <w:t>计划数</w:t>
            </w:r>
          </w:p>
        </w:tc>
        <w:tc>
          <w:tcPr>
            <w:tcW w:type="dxa" w:w="1517"/>
            <w:vAlign w:val="center"/>
            <w:tcMar>
              <w:top w:w="100" w:type="dxa"/>
              <w:start w:w="115" w:type="dxa"/>
              <w:bottom w:w="100" w:type="dxa"/>
              <w:end w:w="115" w:type="dxa"/>
            </w:tcMar>
            <w:shd w:fill="17365D"/>
          </w:tcPr>
          <w:p>
            <w:pPr>
              <w:keepNext/>
              <w:spacing w:before="0" w:after="0" w:line="269" w:lineRule="auto"/>
              <w:jc w:val="center"/>
            </w:pPr>
            <w:r>
              <w:rPr>
                <w:rFonts w:ascii="Times New Roman" w:hAnsi="Times New Roman" w:eastAsia="微软雅黑" w:cs="Times New Roman"/>
                <w:b/>
                <w:color w:val="FFFFFF"/>
                <w:sz w:val="15"/>
              </w:rPr>
              <w:t>PASS</w:t>
            </w:r>
          </w:p>
        </w:tc>
        <w:tc>
          <w:tcPr>
            <w:tcW w:type="dxa" w:w="1517"/>
            <w:vAlign w:val="center"/>
            <w:tcMar>
              <w:top w:w="100" w:type="dxa"/>
              <w:start w:w="115" w:type="dxa"/>
              <w:bottom w:w="100" w:type="dxa"/>
              <w:end w:w="115" w:type="dxa"/>
            </w:tcMar>
            <w:shd w:fill="17365D"/>
          </w:tcPr>
          <w:p>
            <w:pPr>
              <w:keepNext/>
              <w:spacing w:before="0" w:after="0" w:line="269" w:lineRule="auto"/>
              <w:jc w:val="center"/>
            </w:pPr>
            <w:r>
              <w:rPr>
                <w:rFonts w:ascii="Times New Roman" w:hAnsi="Times New Roman" w:eastAsia="微软雅黑" w:cs="Times New Roman"/>
                <w:b/>
                <w:color w:val="FFFFFF"/>
                <w:sz w:val="15"/>
              </w:rPr>
              <w:t>FAIL</w:t>
            </w:r>
          </w:p>
        </w:tc>
        <w:tc>
          <w:tcPr>
            <w:tcW w:type="dxa" w:w="1711"/>
            <w:vAlign w:val="center"/>
            <w:tcMar>
              <w:top w:w="100" w:type="dxa"/>
              <w:start w:w="115" w:type="dxa"/>
              <w:bottom w:w="100" w:type="dxa"/>
              <w:end w:w="115" w:type="dxa"/>
            </w:tcMar>
            <w:shd w:fill="17365D"/>
          </w:tcPr>
          <w:p>
            <w:pPr>
              <w:keepNext/>
              <w:spacing w:before="0" w:after="0" w:line="269" w:lineRule="auto"/>
              <w:jc w:val="center"/>
            </w:pPr>
            <w:r>
              <w:rPr>
                <w:rFonts w:ascii="Times New Roman" w:hAnsi="Times New Roman" w:eastAsia="微软雅黑" w:cs="Times New Roman"/>
                <w:b/>
                <w:color w:val="FFFFFF"/>
                <w:sz w:val="15"/>
              </w:rPr>
              <w:t>BLOCKED</w:t>
            </w:r>
          </w:p>
        </w:tc>
        <w:tc>
          <w:tcPr>
            <w:tcW w:type="dxa" w:w="2236"/>
            <w:vAlign w:val="center"/>
            <w:tcMar>
              <w:top w:w="100" w:type="dxa"/>
              <w:start w:w="115" w:type="dxa"/>
              <w:bottom w:w="100" w:type="dxa"/>
              <w:end w:w="115" w:type="dxa"/>
            </w:tcMar>
            <w:shd w:fill="17365D"/>
          </w:tcPr>
          <w:p>
            <w:pPr>
              <w:keepNext/>
              <w:spacing w:before="0" w:after="0" w:line="269" w:lineRule="auto"/>
              <w:jc w:val="center"/>
            </w:pPr>
            <w:r>
              <w:rPr>
                <w:rFonts w:ascii="Times New Roman" w:hAnsi="Times New Roman" w:eastAsia="微软雅黑" w:cs="Times New Roman"/>
                <w:b/>
                <w:color w:val="FFFFFF"/>
                <w:sz w:val="15"/>
              </w:rPr>
              <w:t>按计划数通过率</w:t>
            </w:r>
          </w:p>
        </w:tc>
      </w:tr>
      <w:tr>
        <w:trPr>
          <w:cantSplit/>
        </w:trPr>
        <w:tc>
          <w:tcPr>
            <w:tcW w:type="dxa" w:w="933"/>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5"/>
              </w:rPr>
              <w:t>功能测试 F001-F036</w:t>
            </w:r>
          </w:p>
        </w:tc>
        <w:tc>
          <w:tcPr>
            <w:tcW w:type="dxa" w:w="1517"/>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36</w:t>
            </w:r>
          </w:p>
        </w:tc>
        <w:tc>
          <w:tcPr>
            <w:tcW w:type="dxa" w:w="1517"/>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33</w:t>
            </w:r>
          </w:p>
        </w:tc>
        <w:tc>
          <w:tcPr>
            <w:tcW w:type="dxa" w:w="1517"/>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0</w:t>
            </w:r>
          </w:p>
        </w:tc>
        <w:tc>
          <w:tcPr>
            <w:tcW w:type="dxa" w:w="1711"/>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3</w:t>
            </w:r>
          </w:p>
        </w:tc>
        <w:tc>
          <w:tcPr>
            <w:tcW w:type="dxa" w:w="2236"/>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91.7%</w:t>
            </w:r>
          </w:p>
        </w:tc>
      </w:tr>
      <w:tr>
        <w:trPr>
          <w:cantSplit/>
        </w:trPr>
        <w:tc>
          <w:tcPr>
            <w:tcW w:type="dxa" w:w="933"/>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5"/>
              </w:rPr>
              <w:t>质量专项 Q001-Q040</w:t>
            </w:r>
          </w:p>
        </w:tc>
        <w:tc>
          <w:tcPr>
            <w:tcW w:type="dxa" w:w="1517"/>
            <w:vAlign w:val="center"/>
            <w:tcMar>
              <w:top w:w="100" w:type="dxa"/>
              <w:start w:w="115" w:type="dxa"/>
              <w:bottom w:w="100" w:type="dxa"/>
              <w:end w:w="115" w:type="dxa"/>
            </w:tcMar>
            <w:shd w:fill="F2F6FA"/>
          </w:tcPr>
          <w:p>
            <w:pPr>
              <w:spacing w:before="0" w:after="0" w:line="269" w:lineRule="auto"/>
              <w:jc w:val="center"/>
            </w:pPr>
            <w:r>
              <w:rPr>
                <w:rFonts w:ascii="Times New Roman" w:hAnsi="Times New Roman" w:eastAsia="微软雅黑" w:cs="Times New Roman"/>
                <w:b w:val="0"/>
                <w:color w:val="243447"/>
                <w:sz w:val="15"/>
              </w:rPr>
              <w:t>40</w:t>
            </w:r>
          </w:p>
        </w:tc>
        <w:tc>
          <w:tcPr>
            <w:tcW w:type="dxa" w:w="1517"/>
            <w:vAlign w:val="center"/>
            <w:tcMar>
              <w:top w:w="100" w:type="dxa"/>
              <w:start w:w="115" w:type="dxa"/>
              <w:bottom w:w="100" w:type="dxa"/>
              <w:end w:w="115" w:type="dxa"/>
            </w:tcMar>
            <w:shd w:fill="F2F6FA"/>
          </w:tcPr>
          <w:p>
            <w:pPr>
              <w:spacing w:before="0" w:after="0" w:line="269" w:lineRule="auto"/>
              <w:jc w:val="center"/>
            </w:pPr>
            <w:r>
              <w:rPr>
                <w:rFonts w:ascii="Times New Roman" w:hAnsi="Times New Roman" w:eastAsia="微软雅黑" w:cs="Times New Roman"/>
                <w:b w:val="0"/>
                <w:color w:val="243447"/>
                <w:sz w:val="15"/>
              </w:rPr>
              <w:t>26</w:t>
            </w:r>
          </w:p>
        </w:tc>
        <w:tc>
          <w:tcPr>
            <w:tcW w:type="dxa" w:w="1517"/>
            <w:vAlign w:val="center"/>
            <w:tcMar>
              <w:top w:w="100" w:type="dxa"/>
              <w:start w:w="115" w:type="dxa"/>
              <w:bottom w:w="100" w:type="dxa"/>
              <w:end w:w="115" w:type="dxa"/>
            </w:tcMar>
            <w:shd w:fill="F2F6FA"/>
          </w:tcPr>
          <w:p>
            <w:pPr>
              <w:spacing w:before="0" w:after="0" w:line="269" w:lineRule="auto"/>
              <w:jc w:val="center"/>
            </w:pPr>
            <w:r>
              <w:rPr>
                <w:rFonts w:ascii="Times New Roman" w:hAnsi="Times New Roman" w:eastAsia="微软雅黑" w:cs="Times New Roman"/>
                <w:b w:val="0"/>
                <w:color w:val="243447"/>
                <w:sz w:val="15"/>
              </w:rPr>
              <w:t>0</w:t>
            </w:r>
          </w:p>
        </w:tc>
        <w:tc>
          <w:tcPr>
            <w:tcW w:type="dxa" w:w="1711"/>
            <w:vAlign w:val="center"/>
            <w:tcMar>
              <w:top w:w="100" w:type="dxa"/>
              <w:start w:w="115" w:type="dxa"/>
              <w:bottom w:w="100" w:type="dxa"/>
              <w:end w:w="115" w:type="dxa"/>
            </w:tcMar>
            <w:shd w:fill="F2F6FA"/>
          </w:tcPr>
          <w:p>
            <w:pPr>
              <w:spacing w:before="0" w:after="0" w:line="269" w:lineRule="auto"/>
              <w:jc w:val="center"/>
            </w:pPr>
            <w:r>
              <w:rPr>
                <w:rFonts w:ascii="Times New Roman" w:hAnsi="Times New Roman" w:eastAsia="微软雅黑" w:cs="Times New Roman"/>
                <w:b w:val="0"/>
                <w:color w:val="243447"/>
                <w:sz w:val="15"/>
              </w:rPr>
              <w:t>14</w:t>
            </w:r>
          </w:p>
        </w:tc>
        <w:tc>
          <w:tcPr>
            <w:tcW w:type="dxa" w:w="2236"/>
            <w:vAlign w:val="center"/>
            <w:tcMar>
              <w:top w:w="100" w:type="dxa"/>
              <w:start w:w="115" w:type="dxa"/>
              <w:bottom w:w="100" w:type="dxa"/>
              <w:end w:w="115" w:type="dxa"/>
            </w:tcMar>
            <w:shd w:fill="F2F6FA"/>
          </w:tcPr>
          <w:p>
            <w:pPr>
              <w:spacing w:before="0" w:after="0" w:line="269" w:lineRule="auto"/>
              <w:jc w:val="center"/>
            </w:pPr>
            <w:r>
              <w:rPr>
                <w:rFonts w:ascii="Times New Roman" w:hAnsi="Times New Roman" w:eastAsia="微软雅黑" w:cs="Times New Roman"/>
                <w:b w:val="0"/>
                <w:color w:val="243447"/>
                <w:sz w:val="15"/>
              </w:rPr>
              <w:t>65.0%</w:t>
            </w:r>
          </w:p>
        </w:tc>
      </w:tr>
      <w:tr>
        <w:trPr>
          <w:cantSplit/>
        </w:trPr>
        <w:tc>
          <w:tcPr>
            <w:tcW w:type="dxa" w:w="933"/>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5"/>
              </w:rPr>
              <w:t>合计</w:t>
            </w:r>
          </w:p>
        </w:tc>
        <w:tc>
          <w:tcPr>
            <w:tcW w:type="dxa" w:w="1517"/>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76</w:t>
            </w:r>
          </w:p>
        </w:tc>
        <w:tc>
          <w:tcPr>
            <w:tcW w:type="dxa" w:w="1517"/>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59</w:t>
            </w:r>
          </w:p>
        </w:tc>
        <w:tc>
          <w:tcPr>
            <w:tcW w:type="dxa" w:w="1517"/>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0</w:t>
            </w:r>
          </w:p>
        </w:tc>
        <w:tc>
          <w:tcPr>
            <w:tcW w:type="dxa" w:w="1711"/>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17</w:t>
            </w:r>
          </w:p>
        </w:tc>
        <w:tc>
          <w:tcPr>
            <w:tcW w:type="dxa" w:w="2236"/>
            <w:vAlign w:val="center"/>
            <w:tcMar>
              <w:top w:w="100" w:type="dxa"/>
              <w:start w:w="115" w:type="dxa"/>
              <w:bottom w:w="100" w:type="dxa"/>
              <w:end w:w="115" w:type="dxa"/>
            </w:tcMar>
            <w:shd w:fill="FFFFFF"/>
          </w:tcPr>
          <w:p>
            <w:pPr>
              <w:spacing w:before="0" w:after="0" w:line="269" w:lineRule="auto"/>
              <w:jc w:val="center"/>
            </w:pPr>
            <w:r>
              <w:rPr>
                <w:rFonts w:ascii="Times New Roman" w:hAnsi="Times New Roman" w:eastAsia="微软雅黑" w:cs="Times New Roman"/>
                <w:b w:val="0"/>
                <w:color w:val="243447"/>
                <w:sz w:val="15"/>
              </w:rPr>
              <w:t>77.6%</w:t>
            </w:r>
          </w:p>
        </w:tc>
      </w:tr>
    </w:tbl>
    <w:p>
      <w:pPr>
        <w:spacing w:after="20" w:before="0"/>
      </w:pPr>
    </w:p>
    <w:p>
      <w:pPr>
        <w:keepLines/>
        <w:spacing w:before="60" w:after="40"/>
        <w:jc w:val="center"/>
      </w:pPr>
      <w:r>
        <w:drawing>
          <wp:inline xmlns:a="http://schemas.openxmlformats.org/drawingml/2006/main" xmlns:pic="http://schemas.openxmlformats.org/drawingml/2006/picture">
            <wp:extent cx="5688000" cy="1528650"/>
            <wp:docPr id="2" name="Picture 2"/>
            <wp:cNvGraphicFramePr>
              <a:graphicFrameLocks noChangeAspect="1"/>
            </wp:cNvGraphicFramePr>
            <a:graphic>
              <a:graphicData uri="http://schemas.openxmlformats.org/drawingml/2006/picture">
                <pic:pic>
                  <pic:nvPicPr>
                    <pic:cNvPr id="0" name="test-status.png"/>
                    <pic:cNvPicPr/>
                  </pic:nvPicPr>
                  <pic:blipFill>
                    <a:blip r:embed="rId11"/>
                    <a:stretch>
                      <a:fillRect/>
                    </a:stretch>
                  </pic:blipFill>
                  <pic:spPr>
                    <a:xfrm>
                      <a:off x="0" y="0"/>
                      <a:ext cx="5688000" cy="1528650"/>
                    </a:xfrm>
                    <a:prstGeom prst="rect"/>
                  </pic:spPr>
                </pic:pic>
              </a:graphicData>
            </a:graphic>
          </wp:inline>
        </w:drawing>
      </w:r>
    </w:p>
    <w:p>
      <w:pPr>
        <w:keepNext w:val="0"/>
        <w:spacing w:before="0" w:after="140"/>
        <w:jc w:val="center"/>
      </w:pPr>
      <w:r>
        <w:rPr>
          <w:rFonts w:ascii="Times New Roman" w:hAnsi="Times New Roman" w:eastAsia="微软雅黑" w:cs="Times New Roman"/>
          <w:color w:val="526273"/>
          <w:sz w:val="18"/>
        </w:rPr>
        <w:t>图2　LAB2-B01 执行状态分布及统计口径</w:t>
      </w:r>
    </w:p>
    <w:p>
      <w:pPr>
        <w:pStyle w:val="Heading2"/>
      </w:pPr>
      <w:r>
        <w:rPr>
          <w:color w:val="000000"/>
        </w:rPr>
        <w:t>3.2 高优先级及质量类别结果</w:t>
      </w:r>
    </w:p>
    <w:p>
      <w:pPr>
        <w:widowControl/>
        <w:ind w:firstLine="397"/>
      </w:pPr>
      <w:r>
        <w:rPr>
          <w:rFonts w:ascii="Times New Roman" w:hAnsi="Times New Roman" w:eastAsia="微软雅黑" w:cs="Times New Roman"/>
          <w:b w:val="0"/>
          <w:color w:val="243447"/>
          <w:sz w:val="21"/>
        </w:rPr>
        <w:t>高优先级用例共 49 项，其中 46 项通过、3 项阻塞（F031、Q018、Q023），按计划数通过率为 93.9%。功能用例 33/36 通过，质量专项 26/40 通过。100% 的状态记录覆盖只表示每项已有状态，不代表全部用例均已实际执行。</w:t>
      </w:r>
    </w:p>
    <w:p>
      <w:pPr>
        <w:widowControl/>
        <w:ind w:firstLine="397"/>
      </w:pPr>
      <w:r>
        <w:rPr>
          <w:rFonts w:ascii="Times New Roman" w:hAnsi="Times New Roman" w:eastAsia="微软雅黑" w:cs="Times New Roman"/>
          <w:b w:val="0"/>
          <w:color w:val="243447"/>
          <w:sz w:val="21"/>
        </w:rPr>
        <w:t>质量专项中，性能、可靠性、安全性、可维护性等部分场景已由测试人员和 F 线自动化脚本补测；需要长期观测、真人评价、微信小程序客户端或多环境安装的专项未用短时接口请求代替，继续保留 BLOCKED。</w:t>
      </w:r>
    </w:p>
    <w:p>
      <w:pPr>
        <w:pStyle w:val="Heading1"/>
      </w:pPr>
      <w:r>
        <w:rPr>
          <w:color w:val="000000"/>
        </w:rPr>
        <w:t>四、典型测试结果与缺陷回归</w:t>
      </w:r>
    </w:p>
    <w:p>
      <w:pPr>
        <w:pStyle w:val="Heading2"/>
      </w:pPr>
      <w:r>
        <w:rPr>
          <w:color w:val="000000"/>
        </w:rPr>
        <w:t>4.1 代表性执行结果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09"/>
        <w:gridCol w:w="2188"/>
        <w:gridCol w:w="4150"/>
        <w:gridCol w:w="1585"/>
      </w:tblGrid>
      <w:tr>
        <w:trPr>
          <w:cantSplit/>
          <w:tblHeader w:val="true"/>
        </w:trPr>
        <w:tc>
          <w:tcPr>
            <w:tcW w:type="dxa" w:w="1509"/>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用例</w:t>
            </w:r>
          </w:p>
        </w:tc>
        <w:tc>
          <w:tcPr>
            <w:tcW w:type="dxa" w:w="2188"/>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测试点与条件</w:t>
            </w:r>
          </w:p>
        </w:tc>
        <w:tc>
          <w:tcPr>
            <w:tcW w:type="dxa" w:w="4150"/>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实际结果</w:t>
            </w:r>
          </w:p>
        </w:tc>
        <w:tc>
          <w:tcPr>
            <w:tcW w:type="dxa" w:w="1585"/>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状态</w:t>
            </w:r>
          </w:p>
        </w:tc>
      </w:tr>
      <w:tr>
        <w:trPr>
          <w:cantSplit/>
        </w:trPr>
        <w:tc>
          <w:tcPr>
            <w:tcW w:type="dxa" w:w="1509"/>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F018</w:t>
            </w:r>
          </w:p>
        </w:tc>
        <w:tc>
          <w:tcPr>
            <w:tcW w:type="dxa" w:w="218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计划 100、累计完成 0，提交报工 150</w:t>
            </w:r>
          </w:p>
        </w:tc>
        <w:tc>
          <w:tcPr>
            <w:tcW w:type="dxa" w:w="4150"/>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接口返回 400，提示报工量超过剩余计划量，未形成超量累计</w:t>
            </w:r>
          </w:p>
        </w:tc>
        <w:tc>
          <w:tcPr>
            <w:tcW w:type="dxa" w:w="158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PASS（修复后回归）</w:t>
            </w:r>
          </w:p>
        </w:tc>
      </w:tr>
      <w:tr>
        <w:trPr>
          <w:cantSplit/>
        </w:trPr>
        <w:tc>
          <w:tcPr>
            <w:tcW w:type="dxa" w:w="1509"/>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F019</w:t>
            </w:r>
          </w:p>
        </w:tc>
        <w:tc>
          <w:tcPr>
            <w:tcW w:type="dxa" w:w="218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累计完成量小于计划量时提交完工</w:t>
            </w:r>
          </w:p>
        </w:tc>
        <w:tc>
          <w:tcPr>
            <w:tcW w:type="dxa" w:w="4150"/>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接口拒绝完工并返回未达计划数量信息</w:t>
            </w:r>
          </w:p>
        </w:tc>
        <w:tc>
          <w:tcPr>
            <w:tcW w:type="dxa" w:w="158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PASS（修复后回归）</w:t>
            </w:r>
          </w:p>
        </w:tc>
      </w:tr>
      <w:tr>
        <w:trPr>
          <w:cantSplit/>
        </w:trPr>
        <w:tc>
          <w:tcPr>
            <w:tcW w:type="dxa" w:w="1509"/>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F026</w:t>
            </w:r>
          </w:p>
        </w:tc>
        <w:tc>
          <w:tcPr>
            <w:tcW w:type="dxa" w:w="218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启用质量门的工序完成报工并尝试完工</w:t>
            </w:r>
          </w:p>
        </w:tc>
        <w:tc>
          <w:tcPr>
            <w:tcW w:type="dxa" w:w="4150"/>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任务进入待质检状态，未被直接置为已完工</w:t>
            </w:r>
          </w:p>
        </w:tc>
        <w:tc>
          <w:tcPr>
            <w:tcW w:type="dxa" w:w="158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PASS（修复后回归）</w:t>
            </w:r>
          </w:p>
        </w:tc>
      </w:tr>
      <w:tr>
        <w:trPr>
          <w:cantSplit/>
        </w:trPr>
        <w:tc>
          <w:tcPr>
            <w:tcW w:type="dxa" w:w="1509"/>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Q004</w:t>
            </w:r>
          </w:p>
        </w:tc>
        <w:tc>
          <w:tcPr>
            <w:tcW w:type="dxa" w:w="218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50 虚拟用户运行 60 秒，记录 30,158 个请求</w:t>
            </w:r>
          </w:p>
        </w:tc>
        <w:tc>
          <w:tcPr>
            <w:tcW w:type="dxa" w:w="4150"/>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平均响应 90.78 ms，P95 223.6 ms，P99 269 ms</w:t>
            </w:r>
          </w:p>
        </w:tc>
        <w:tc>
          <w:tcPr>
            <w:tcW w:type="dxa" w:w="158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PASS（执行记录）</w:t>
            </w:r>
          </w:p>
        </w:tc>
      </w:tr>
      <w:tr>
        <w:trPr>
          <w:cantSplit/>
        </w:trPr>
        <w:tc>
          <w:tcPr>
            <w:tcW w:type="dxa" w:w="1509"/>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Q017</w:t>
            </w:r>
          </w:p>
        </w:tc>
        <w:tc>
          <w:tcPr>
            <w:tcW w:type="dxa" w:w="2188"/>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循环请求当前用户接口 10,000 次</w:t>
            </w:r>
          </w:p>
        </w:tc>
        <w:tc>
          <w:tcPr>
            <w:tcW w:type="dxa" w:w="4150"/>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10,000 次成功，未记录错误，总耗时 13.78 秒</w:t>
            </w:r>
          </w:p>
        </w:tc>
        <w:tc>
          <w:tcPr>
            <w:tcW w:type="dxa" w:w="158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PASS</w:t>
            </w:r>
          </w:p>
        </w:tc>
      </w:tr>
      <w:tr>
        <w:trPr>
          <w:cantSplit/>
        </w:trPr>
        <w:tc>
          <w:tcPr>
            <w:tcW w:type="dxa" w:w="1509"/>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Q019/Q020</w:t>
            </w:r>
          </w:p>
        </w:tc>
        <w:tc>
          <w:tcPr>
            <w:tcW w:type="dxa" w:w="2188"/>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停止 Redis 后观察业务与恢复</w:t>
            </w:r>
          </w:p>
        </w:tc>
        <w:tc>
          <w:tcPr>
            <w:tcW w:type="dxa" w:w="4150"/>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JVM 未退出；Redis 恢复后业务恢复，记录恢复时间小于 30 秒</w:t>
            </w:r>
          </w:p>
        </w:tc>
        <w:tc>
          <w:tcPr>
            <w:tcW w:type="dxa" w:w="158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PASS</w:t>
            </w:r>
          </w:p>
        </w:tc>
      </w:tr>
    </w:tbl>
    <w:p>
      <w:pPr>
        <w:spacing w:after="20" w:before="0"/>
      </w:pPr>
    </w:p>
    <w:p>
      <w:pPr>
        <w:keepLines/>
        <w:spacing w:before="60" w:after="40"/>
        <w:jc w:val="center"/>
      </w:pPr>
      <w:r>
        <w:drawing>
          <wp:inline xmlns:a="http://schemas.openxmlformats.org/drawingml/2006/main" xmlns:pic="http://schemas.openxmlformats.org/drawingml/2006/picture">
            <wp:extent cx="5688000" cy="782100"/>
            <wp:docPr id="3" name="Picture 3"/>
            <wp:cNvGraphicFramePr>
              <a:graphicFrameLocks noChangeAspect="1"/>
            </wp:cNvGraphicFramePr>
            <a:graphic>
              <a:graphicData uri="http://schemas.openxmlformats.org/drawingml/2006/picture">
                <pic:pic>
                  <pic:nvPicPr>
                    <pic:cNvPr id="0" name="first-run-summary.png"/>
                    <pic:cNvPicPr/>
                  </pic:nvPicPr>
                  <pic:blipFill>
                    <a:blip r:embed="rId12"/>
                    <a:stretch>
                      <a:fillRect/>
                    </a:stretch>
                  </pic:blipFill>
                  <pic:spPr>
                    <a:xfrm>
                      <a:off x="0" y="0"/>
                      <a:ext cx="5688000" cy="782100"/>
                    </a:xfrm>
                    <a:prstGeom prst="rect"/>
                  </pic:spPr>
                </pic:pic>
              </a:graphicData>
            </a:graphic>
          </wp:inline>
        </w:drawing>
      </w:r>
    </w:p>
    <w:p>
      <w:pPr>
        <w:keepNext w:val="0"/>
        <w:spacing w:before="0" w:after="140"/>
        <w:jc w:val="center"/>
      </w:pPr>
      <w:r>
        <w:rPr>
          <w:rFonts w:ascii="Times New Roman" w:hAnsi="Times New Roman" w:eastAsia="微软雅黑" w:cs="Times New Roman"/>
          <w:color w:val="526273"/>
          <w:sz w:val="18"/>
        </w:rPr>
        <w:t>图3　功能测试首轮执行统计（修复前）：36 项功能用例中 3 项失败，后续已修复并回归</w:t>
      </w:r>
    </w:p>
    <w:p>
      <w:pPr>
        <w:pStyle w:val="Heading2"/>
      </w:pPr>
      <w:r>
        <w:rPr>
          <w:color w:val="000000"/>
        </w:rPr>
        <w:t>4.2 高严重度缺陷及回归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60"/>
        <w:gridCol w:w="3697"/>
        <w:gridCol w:w="4075"/>
      </w:tblGrid>
      <w:tr>
        <w:trPr>
          <w:cantSplit/>
          <w:tblHeader w:val="true"/>
        </w:trPr>
        <w:tc>
          <w:tcPr>
            <w:tcW w:type="dxa" w:w="1660"/>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缺陷编号</w:t>
            </w:r>
          </w:p>
        </w:tc>
        <w:tc>
          <w:tcPr>
            <w:tcW w:type="dxa" w:w="3697"/>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问题表现</w:t>
            </w:r>
          </w:p>
        </w:tc>
        <w:tc>
          <w:tcPr>
            <w:tcW w:type="dxa" w:w="4075"/>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修复与回归结果</w:t>
            </w:r>
          </w:p>
        </w:tc>
      </w:tr>
      <w:tr>
        <w:trPr>
          <w:cantSplit/>
        </w:trPr>
        <w:tc>
          <w:tcPr>
            <w:tcW w:type="dxa" w:w="1660"/>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BUG-001 报工超量</w:t>
            </w:r>
          </w:p>
        </w:tc>
        <w:tc>
          <w:tcPr>
            <w:tcW w:type="dxa" w:w="3697"/>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报工提交前未校验报工数量是否超过任务剩余计划量，可能造成累计量超计划</w:t>
            </w:r>
          </w:p>
        </w:tc>
        <w:tc>
          <w:tcPr>
            <w:tcW w:type="dxa" w:w="407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增加剩余数量边界校验；F018、Q002、Q036 等关联场景回归通过</w:t>
            </w:r>
          </w:p>
        </w:tc>
      </w:tr>
      <w:tr>
        <w:trPr>
          <w:cantSplit/>
        </w:trPr>
        <w:tc>
          <w:tcPr>
            <w:tcW w:type="dxa" w:w="1660"/>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BUG-002 提前完工</w:t>
            </w:r>
          </w:p>
        </w:tc>
        <w:tc>
          <w:tcPr>
            <w:tcW w:type="dxa" w:w="3697"/>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任务累计完成量未达到计划数量时仍可被标记为完工</w:t>
            </w:r>
          </w:p>
        </w:tc>
        <w:tc>
          <w:tcPr>
            <w:tcW w:type="dxa" w:w="407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增加完工条件校验；F019 及相关状态场景回归通过</w:t>
            </w:r>
          </w:p>
        </w:tc>
      </w:tr>
      <w:tr>
        <w:trPr>
          <w:cantSplit/>
        </w:trPr>
        <w:tc>
          <w:tcPr>
            <w:tcW w:type="dxa" w:w="1660"/>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BUG-003 质量门绕过</w:t>
            </w:r>
          </w:p>
        </w:tc>
        <w:tc>
          <w:tcPr>
            <w:tcW w:type="dxa" w:w="3697"/>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启用质量门的任务完工后未进入待质检状态</w:t>
            </w:r>
          </w:p>
        </w:tc>
        <w:tc>
          <w:tcPr>
            <w:tcW w:type="dxa" w:w="407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完工逻辑读取工艺路线质量门配置；F026 及关联质量场景回归通过</w:t>
            </w:r>
          </w:p>
        </w:tc>
      </w:tr>
    </w:tbl>
    <w:p>
      <w:pPr>
        <w:spacing w:after="20" w:before="0"/>
      </w:pPr>
    </w:p>
    <w:p>
      <w:pPr>
        <w:widowControl/>
      </w:pPr>
      <w:r>
        <w:rPr>
          <w:rFonts w:ascii="Times New Roman" w:hAnsi="Times New Roman" w:eastAsia="微软雅黑" w:cs="Times New Roman"/>
          <w:b w:val="0"/>
          <w:color w:val="243447"/>
          <w:sz w:val="21"/>
        </w:rPr>
        <w:t>上述 3 项高严重度缺陷均已修复。5 项关联用例 F018、F019、F026、Q002、Q036 复测通过；测试记录中的 FAIL 状态已依据实际修复回归更新为 PASS。</w:t>
      </w:r>
    </w:p>
    <w:p>
      <w:pPr>
        <w:pStyle w:val="Heading1"/>
      </w:pPr>
      <w:r>
        <w:rPr>
          <w:color w:val="000000"/>
        </w:rPr>
        <w:t>五、阻塞项与计划退出条件评估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35"/>
        <w:gridCol w:w="936"/>
        <w:gridCol w:w="2037"/>
        <w:gridCol w:w="4724"/>
      </w:tblGrid>
      <w:tr>
        <w:trPr>
          <w:cantSplit/>
          <w:tblHeader w:val="true"/>
        </w:trPr>
        <w:tc>
          <w:tcPr>
            <w:tcW w:type="dxa" w:w="1735"/>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阻塞类别</w:t>
            </w:r>
          </w:p>
        </w:tc>
        <w:tc>
          <w:tcPr>
            <w:tcW w:type="dxa" w:w="936"/>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用例数</w:t>
            </w:r>
          </w:p>
        </w:tc>
        <w:tc>
          <w:tcPr>
            <w:tcW w:type="dxa" w:w="2037"/>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代表项目</w:t>
            </w:r>
          </w:p>
        </w:tc>
        <w:tc>
          <w:tcPr>
            <w:tcW w:type="dxa" w:w="4724"/>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无法完成的条件</w:t>
            </w:r>
          </w:p>
        </w:tc>
      </w:tr>
      <w:tr>
        <w:trPr>
          <w:cantSplit/>
        </w:trPr>
        <w:tc>
          <w:tcPr>
            <w:tcW w:type="dxa" w:w="173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周期边界</w:t>
            </w:r>
          </w:p>
        </w:tc>
        <w:tc>
          <w:tcPr>
            <w:tcW w:type="dxa" w:w="93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1</w:t>
            </w:r>
          </w:p>
        </w:tc>
        <w:tc>
          <w:tcPr>
            <w:tcW w:type="dxa" w:w="2037"/>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F031</w:t>
            </w:r>
          </w:p>
        </w:tc>
        <w:tc>
          <w:tcPr>
            <w:tcW w:type="dxa" w:w="4724"/>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需要跨越至少 30 天的真实周期数据，单次实验无法替代观察</w:t>
            </w:r>
          </w:p>
        </w:tc>
      </w:tr>
      <w:tr>
        <w:trPr>
          <w:cantSplit/>
        </w:trPr>
        <w:tc>
          <w:tcPr>
            <w:tcW w:type="dxa" w:w="173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小程序与真机</w:t>
            </w:r>
          </w:p>
        </w:tc>
        <w:tc>
          <w:tcPr>
            <w:tcW w:type="dxa" w:w="93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3</w:t>
            </w:r>
          </w:p>
        </w:tc>
        <w:tc>
          <w:tcPr>
            <w:tcW w:type="dxa" w:w="2037"/>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F033、F034、Q008</w:t>
            </w:r>
          </w:p>
        </w:tc>
        <w:tc>
          <w:tcPr>
            <w:tcW w:type="dxa" w:w="4724"/>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需微信开发者工具/小程序客户端及 Android、iOS 真机配合</w:t>
            </w:r>
          </w:p>
        </w:tc>
      </w:tr>
      <w:tr>
        <w:trPr>
          <w:cantSplit/>
        </w:trPr>
        <w:tc>
          <w:tcPr>
            <w:tcW w:type="dxa" w:w="173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多工具协同</w:t>
            </w:r>
          </w:p>
        </w:tc>
        <w:tc>
          <w:tcPr>
            <w:tcW w:type="dxa" w:w="93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1</w:t>
            </w:r>
          </w:p>
        </w:tc>
        <w:tc>
          <w:tcPr>
            <w:tcW w:type="dxa" w:w="2037"/>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Q007</w:t>
            </w:r>
          </w:p>
        </w:tc>
        <w:tc>
          <w:tcPr>
            <w:tcW w:type="dxa" w:w="4724"/>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需在同一终端并行比较 MES 与其他实际办公应用</w:t>
            </w:r>
          </w:p>
        </w:tc>
      </w:tr>
      <w:tr>
        <w:trPr>
          <w:cantSplit/>
        </w:trPr>
        <w:tc>
          <w:tcPr>
            <w:tcW w:type="dxa" w:w="173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用户交互评价</w:t>
            </w:r>
          </w:p>
        </w:tc>
        <w:tc>
          <w:tcPr>
            <w:tcW w:type="dxa" w:w="93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7</w:t>
            </w:r>
          </w:p>
        </w:tc>
        <w:tc>
          <w:tcPr>
            <w:tcW w:type="dxa" w:w="2037"/>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Q009-Q011、Q013-Q016</w:t>
            </w:r>
          </w:p>
        </w:tc>
        <w:tc>
          <w:tcPr>
            <w:tcW w:type="dxa" w:w="4724"/>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需组织 10 名真实用户按任务操作并记录量表</w:t>
            </w:r>
          </w:p>
        </w:tc>
      </w:tr>
      <w:tr>
        <w:trPr>
          <w:cantSplit/>
        </w:trPr>
        <w:tc>
          <w:tcPr>
            <w:tcW w:type="dxa" w:w="173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长期可靠性</w:t>
            </w:r>
          </w:p>
        </w:tc>
        <w:tc>
          <w:tcPr>
            <w:tcW w:type="dxa" w:w="93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1</w:t>
            </w:r>
          </w:p>
        </w:tc>
        <w:tc>
          <w:tcPr>
            <w:tcW w:type="dxa" w:w="2037"/>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Q018</w:t>
            </w:r>
          </w:p>
        </w:tc>
        <w:tc>
          <w:tcPr>
            <w:tcW w:type="dxa" w:w="4724"/>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要求 22 个工作日、每日 8 小时的稳定性观察</w:t>
            </w:r>
          </w:p>
        </w:tc>
      </w:tr>
      <w:tr>
        <w:trPr>
          <w:cantSplit/>
        </w:trPr>
        <w:tc>
          <w:tcPr>
            <w:tcW w:type="dxa" w:w="173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操作审计记录</w:t>
            </w:r>
          </w:p>
        </w:tc>
        <w:tc>
          <w:tcPr>
            <w:tcW w:type="dxa" w:w="93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1</w:t>
            </w:r>
          </w:p>
        </w:tc>
        <w:tc>
          <w:tcPr>
            <w:tcW w:type="dxa" w:w="2037"/>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Q023</w:t>
            </w:r>
          </w:p>
        </w:tc>
        <w:tc>
          <w:tcPr>
            <w:tcW w:type="dxa" w:w="4724"/>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需部署操作日志/审计能力并取得对应记录</w:t>
            </w:r>
          </w:p>
        </w:tc>
      </w:tr>
      <w:tr>
        <w:trPr>
          <w:cantSplit/>
        </w:trPr>
        <w:tc>
          <w:tcPr>
            <w:tcW w:type="dxa" w:w="1735"/>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跨环境兼容</w:t>
            </w:r>
          </w:p>
        </w:tc>
        <w:tc>
          <w:tcPr>
            <w:tcW w:type="dxa" w:w="93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3</w:t>
            </w:r>
          </w:p>
        </w:tc>
        <w:tc>
          <w:tcPr>
            <w:tcW w:type="dxa" w:w="2037"/>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Q033-Q035</w:t>
            </w:r>
          </w:p>
        </w:tc>
        <w:tc>
          <w:tcPr>
            <w:tcW w:type="dxa" w:w="4724"/>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需独立环境、可迁移数据及新成员安装复现条件</w:t>
            </w:r>
          </w:p>
        </w:tc>
      </w:tr>
      <w:tr>
        <w:trPr>
          <w:cantSplit/>
        </w:trPr>
        <w:tc>
          <w:tcPr>
            <w:tcW w:type="dxa" w:w="1735"/>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合计</w:t>
            </w:r>
          </w:p>
        </w:tc>
        <w:tc>
          <w:tcPr>
            <w:tcW w:type="dxa" w:w="93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17</w:t>
            </w:r>
          </w:p>
        </w:tc>
        <w:tc>
          <w:tcPr>
            <w:tcW w:type="dxa" w:w="2037"/>
            <w:vAlign w:val="center"/>
            <w:tcMar>
              <w:top w:w="100" w:type="dxa"/>
              <w:start w:w="115" w:type="dxa"/>
              <w:bottom w:w="100" w:type="dxa"/>
              <w:end w:w="115" w:type="dxa"/>
            </w:tcMar>
            <w:shd w:fill="F2F6FA"/>
          </w:tcPr>
          <w:p>
            <w:pPr>
              <w:spacing w:before="0" w:after="0" w:line="269" w:lineRule="auto"/>
              <w:jc w:val="left"/>
            </w:pPr>
          </w:p>
        </w:tc>
        <w:tc>
          <w:tcPr>
            <w:tcW w:type="dxa" w:w="4724"/>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均已记录阻塞原因，尚未完成专项验证</w:t>
            </w:r>
          </w:p>
        </w:tc>
      </w:tr>
    </w:tbl>
    <w:p>
      <w:pPr>
        <w:spacing w:after="20" w:before="0"/>
      </w:pPr>
    </w:p>
    <w:p>
      <w:pPr>
        <w:pStyle w:val="Heading2"/>
      </w:pPr>
      <w:r>
        <w:rPr>
          <w:color w:val="000000"/>
        </w:rPr>
        <w:t>5.1 原计划退出标准评估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16"/>
        <w:gridCol w:w="1509"/>
        <w:gridCol w:w="5206"/>
      </w:tblGrid>
      <w:tr>
        <w:trPr>
          <w:cantSplit/>
          <w:tblHeader w:val="true"/>
        </w:trPr>
        <w:tc>
          <w:tcPr>
            <w:tcW w:type="dxa" w:w="2716"/>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退出条件</w:t>
            </w:r>
          </w:p>
        </w:tc>
        <w:tc>
          <w:tcPr>
            <w:tcW w:type="dxa" w:w="1509"/>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结果</w:t>
            </w:r>
          </w:p>
        </w:tc>
        <w:tc>
          <w:tcPr>
            <w:tcW w:type="dxa" w:w="5206"/>
            <w:vAlign w:val="center"/>
            <w:tcMar>
              <w:top w:w="100" w:type="dxa"/>
              <w:start w:w="115" w:type="dxa"/>
              <w:bottom w:w="100" w:type="dxa"/>
              <w:end w:w="115" w:type="dxa"/>
            </w:tcMar>
            <w:shd w:fill="17365D"/>
          </w:tcPr>
          <w:p>
            <w:pPr>
              <w:keepNext/>
              <w:spacing w:before="0" w:after="0" w:line="269" w:lineRule="auto"/>
              <w:jc w:val="left"/>
            </w:pPr>
            <w:r>
              <w:rPr>
                <w:rFonts w:ascii="Times New Roman" w:hAnsi="Times New Roman" w:eastAsia="微软雅黑" w:cs="Times New Roman"/>
                <w:b/>
                <w:color w:val="FFFFFF"/>
                <w:sz w:val="16"/>
              </w:rPr>
              <w:t>说明</w:t>
            </w:r>
          </w:p>
        </w:tc>
      </w:tr>
      <w:tr>
        <w:trPr>
          <w:cantSplit/>
        </w:trPr>
        <w:tc>
          <w:tcPr>
            <w:tcW w:type="dxa" w:w="271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高优先级用例全部执行且通过</w:t>
            </w:r>
          </w:p>
        </w:tc>
        <w:tc>
          <w:tcPr>
            <w:tcW w:type="dxa" w:w="1509"/>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未满足</w:t>
            </w:r>
          </w:p>
        </w:tc>
        <w:tc>
          <w:tcPr>
            <w:tcW w:type="dxa" w:w="520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49 项中 46 项 PASS、3 项 BLOCKED</w:t>
            </w:r>
          </w:p>
        </w:tc>
      </w:tr>
      <w:tr>
        <w:trPr>
          <w:cantSplit/>
        </w:trPr>
        <w:tc>
          <w:tcPr>
            <w:tcW w:type="dxa" w:w="271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计划用例执行完成率 100%</w:t>
            </w:r>
          </w:p>
        </w:tc>
        <w:tc>
          <w:tcPr>
            <w:tcW w:type="dxa" w:w="1509"/>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未满足</w:t>
            </w:r>
          </w:p>
        </w:tc>
        <w:tc>
          <w:tcPr>
            <w:tcW w:type="dxa" w:w="520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59/76 = 77.6%；17 项 BLOCKED 不计为完成</w:t>
            </w:r>
          </w:p>
        </w:tc>
      </w:tr>
      <w:tr>
        <w:trPr>
          <w:cantSplit/>
        </w:trPr>
        <w:tc>
          <w:tcPr>
            <w:tcW w:type="dxa" w:w="271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总体通过率不低于 95%</w:t>
            </w:r>
          </w:p>
        </w:tc>
        <w:tc>
          <w:tcPr>
            <w:tcW w:type="dxa" w:w="1509"/>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未满足</w:t>
            </w:r>
          </w:p>
        </w:tc>
        <w:tc>
          <w:tcPr>
            <w:tcW w:type="dxa" w:w="520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按计划总数计算为 59/76 = 77.6%</w:t>
            </w:r>
          </w:p>
        </w:tc>
      </w:tr>
      <w:tr>
        <w:trPr>
          <w:cantSplit/>
        </w:trPr>
        <w:tc>
          <w:tcPr>
            <w:tcW w:type="dxa" w:w="271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严重/致命缺陷为 0</w:t>
            </w:r>
          </w:p>
        </w:tc>
        <w:tc>
          <w:tcPr>
            <w:tcW w:type="dxa" w:w="1509"/>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满足（修复后）</w:t>
            </w:r>
          </w:p>
        </w:tc>
        <w:tc>
          <w:tcPr>
            <w:tcW w:type="dxa" w:w="520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BUG-001 至 BUG-003 已修复，关联回归通过</w:t>
            </w:r>
          </w:p>
        </w:tc>
      </w:tr>
      <w:tr>
        <w:trPr>
          <w:cantSplit/>
        </w:trPr>
        <w:tc>
          <w:tcPr>
            <w:tcW w:type="dxa" w:w="271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剩余问题完成影响评估与处置</w:t>
            </w:r>
          </w:p>
        </w:tc>
        <w:tc>
          <w:tcPr>
            <w:tcW w:type="dxa" w:w="1509"/>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部分满足</w:t>
            </w:r>
          </w:p>
        </w:tc>
        <w:tc>
          <w:tcPr>
            <w:tcW w:type="dxa" w:w="5206"/>
            <w:vAlign w:val="center"/>
            <w:tcMar>
              <w:top w:w="100" w:type="dxa"/>
              <w:start w:w="115" w:type="dxa"/>
              <w:bottom w:w="100" w:type="dxa"/>
              <w:end w:w="115" w:type="dxa"/>
            </w:tcMar>
            <w:shd w:fill="FFFFFF"/>
          </w:tcPr>
          <w:p>
            <w:pPr>
              <w:spacing w:before="0" w:after="0" w:line="269" w:lineRule="auto"/>
              <w:jc w:val="left"/>
            </w:pPr>
            <w:r>
              <w:rPr>
                <w:rFonts w:ascii="Times New Roman" w:hAnsi="Times New Roman" w:eastAsia="微软雅黑" w:cs="Times New Roman"/>
                <w:b w:val="0"/>
                <w:color w:val="243447"/>
                <w:sz w:val="16"/>
              </w:rPr>
              <w:t>阻塞原因已记录，未留存正式评审签字或会议纪要</w:t>
            </w:r>
          </w:p>
        </w:tc>
      </w:tr>
      <w:tr>
        <w:trPr>
          <w:cantSplit/>
        </w:trPr>
        <w:tc>
          <w:tcPr>
            <w:tcW w:type="dxa" w:w="271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整体退出结论</w:t>
            </w:r>
          </w:p>
        </w:tc>
        <w:tc>
          <w:tcPr>
            <w:tcW w:type="dxa" w:w="1509"/>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未通过</w:t>
            </w:r>
          </w:p>
        </w:tc>
        <w:tc>
          <w:tcPr>
            <w:tcW w:type="dxa" w:w="5206"/>
            <w:vAlign w:val="center"/>
            <w:tcMar>
              <w:top w:w="100" w:type="dxa"/>
              <w:start w:w="115" w:type="dxa"/>
              <w:bottom w:w="100" w:type="dxa"/>
              <w:end w:w="115" w:type="dxa"/>
            </w:tcMar>
            <w:shd w:fill="F2F6FA"/>
          </w:tcPr>
          <w:p>
            <w:pPr>
              <w:spacing w:before="0" w:after="0" w:line="269" w:lineRule="auto"/>
              <w:jc w:val="left"/>
            </w:pPr>
            <w:r>
              <w:rPr>
                <w:rFonts w:ascii="Times New Roman" w:hAnsi="Times New Roman" w:eastAsia="微软雅黑" w:cs="Times New Roman"/>
                <w:b w:val="0"/>
                <w:color w:val="243447"/>
                <w:sz w:val="16"/>
              </w:rPr>
              <w:t>执行完成率、通过率和高优先级全通过条件未满足</w:t>
            </w:r>
          </w:p>
        </w:tc>
      </w:tr>
    </w:tbl>
    <w:p>
      <w:pPr>
        <w:spacing w:after="20" w:before="0"/>
      </w:pPr>
    </w:p>
    <w:p>
      <w:pPr>
        <w:pStyle w:val="Heading1"/>
        <w:keepNext/>
        <w:pageBreakBefore/>
        <w:spacing w:after="120"/>
      </w:pPr>
      <w:r>
        <w:rPr>
          <w:rFonts w:ascii="Times New Roman" w:hAnsi="Times New Roman" w:eastAsia="微软雅黑"/>
          <w:b/>
          <w:color w:val="000000"/>
          <w:sz w:val="24"/>
        </w:rPr>
        <w:t>六、后续实验验证与综合评估</w:t>
      </w:r>
    </w:p>
    <w:p>
      <w:pPr>
        <w:spacing w:after="120"/>
      </w:pPr>
      <w:r>
        <w:rPr>
          <w:rFonts w:ascii="Times New Roman" w:hAnsi="Times New Roman" w:eastAsia="微软雅黑"/>
          <w:b w:val="0"/>
          <w:color w:val="000000"/>
          <w:sz w:val="22"/>
        </w:rPr>
        <w:t>在系统测试结果留档后，小组继续开展单元测试、静态分析、接口测试和查询负载测试。下述结果属于各自日期、范围和环境下的补充验证，不直接改变LAB2-B01的用例状态；不同工具的请求数、断言数及覆盖率也不合并计算。</w:t>
      </w:r>
    </w:p>
    <w:p>
      <w:pPr>
        <w:keepNext/>
        <w:spacing w:after="120"/>
      </w:pPr>
      <w:r>
        <w:rPr>
          <w:rFonts w:ascii="Times New Roman" w:hAnsi="Times New Roman" w:eastAsia="微软雅黑"/>
          <w:b/>
          <w:color w:val="000000"/>
          <w:sz w:val="24"/>
        </w:rPr>
        <w:t>单元测试与覆盖率</w:t>
      </w:r>
    </w:p>
    <w:p>
      <w:pPr>
        <w:spacing w:after="120"/>
      </w:pPr>
      <w:r>
        <w:rPr>
          <w:rFonts w:ascii="Times New Roman" w:hAnsi="Times New Roman" w:eastAsia="微软雅黑"/>
          <w:b w:val="0"/>
          <w:color w:val="000000"/>
          <w:sz w:val="22"/>
        </w:rPr>
        <w:t>实验3留档结果为19个测试类、96项测试通过。六个核心服务的JaCoCo行覆盖率为99.4%，分支覆盖率为91.8%，达到既定核心服务目标。该结果不代表整个后端达到同等覆盖率，报表等扩展服务仍有测试缺口。2026年10月8日完成静态分析问题修正后，同一套96项测试再次全部通过；本次回归没有重新采集覆盖率。</w:t>
      </w:r>
    </w:p>
    <w:p>
      <w:pPr>
        <w:keepNext/>
        <w:spacing w:after="120"/>
      </w:pPr>
      <w:r>
        <w:rPr>
          <w:rFonts w:ascii="Times New Roman" w:hAnsi="Times New Roman" w:eastAsia="微软雅黑"/>
          <w:b/>
          <w:color w:val="000000"/>
          <w:sz w:val="24"/>
        </w:rPr>
        <w:t>静态分析与问题修正</w:t>
      </w:r>
    </w:p>
    <w:p>
      <w:pPr>
        <w:spacing w:after="120"/>
      </w:pPr>
      <w:r>
        <w:rPr>
          <w:rFonts w:ascii="Times New Roman" w:hAnsi="Times New Roman" w:eastAsia="微软雅黑"/>
          <w:b w:val="0"/>
          <w:color w:val="000000"/>
          <w:sz w:val="22"/>
        </w:rPr>
        <w:t>2026年10月8日阶段：阿里规约初次发现208项不符合，修正后同范围复查为0项。FindBugs 3.0.1经记录明确的字节码解析兼容适配，对72个源文件对应的73个类完成扫描，核查8项告警，修正7项源码问题，复查保留1项编译器生成代码的误报。该工具副本并非官方Java 17支持版本，结果适用于本次启用的检测能力。</w:t>
      </w:r>
    </w:p>
    <w:p>
      <w:pPr>
        <w:spacing w:after="120"/>
      </w:pPr>
      <w:r>
        <w:rPr>
          <w:rFonts w:ascii="Times New Roman" w:hAnsi="Times New Roman" w:eastAsia="微软雅黑"/>
          <w:b w:val="0"/>
          <w:color w:val="000000"/>
          <w:sz w:val="22"/>
        </w:rPr>
        <w:t>2026年10月11日按SpotBugs和Alibaba Java Coding Guidelines补充扫描。官方SpotBugs 4.10.4直接分析73个Java 17编译类，发现15项共享依赖引用告警；核查后13项为框架场景误报，2项为共享JSON组件和Redis模板的设计风险。未确认新的源码缺陷，未修改源码或抑制告警，同范围复查仍为15项。阿里官方P3C规则扫描72个源文件，结果仍为0项；两种工具的结果与既有FindBugs数据分开统计。</w:t>
      </w:r>
    </w:p>
    <w:p>
      <w:pPr>
        <w:keepNext/>
        <w:spacing w:after="120"/>
      </w:pPr>
      <w:r>
        <w:rPr>
          <w:rFonts w:ascii="Times New Roman" w:hAnsi="Times New Roman" w:eastAsia="微软雅黑"/>
          <w:b/>
          <w:color w:val="000000"/>
          <w:sz w:val="24"/>
        </w:rPr>
        <w:t>接口与查询负载验证</w:t>
      </w:r>
    </w:p>
    <w:p>
      <w:pPr>
        <w:spacing w:after="120"/>
      </w:pPr>
      <w:r>
        <w:rPr>
          <w:rFonts w:ascii="Times New Roman" w:hAnsi="Times New Roman" w:eastAsia="微软雅黑"/>
          <w:b w:val="0"/>
          <w:color w:val="000000"/>
          <w:sz w:val="22"/>
        </w:rPr>
        <w:t>实验5使用Postman集合和Newman，对工单、生产任务和生产报表三类服务开展验证，最终10个请求、20项断言全部通过。实验6的单用户基线和十用户负载共执行652个请求，HTTP和业务断言均通过；Badboy另行录制4个公共只读请求，原生脚本、原始JMX及补充响应断言版本均通过实际回放。上述场景没有覆盖业务写入、所有岗位权限或长期可靠性，不能外推为生产容量结论。</w:t>
      </w:r>
    </w:p>
    <w:p>
      <w:pPr>
        <w:keepNext/>
        <w:spacing w:after="120"/>
      </w:pPr>
      <w:r>
        <w:rPr>
          <w:rFonts w:ascii="Times New Roman" w:hAnsi="Times New Roman" w:eastAsia="微软雅黑"/>
          <w:b/>
          <w:color w:val="000000"/>
          <w:sz w:val="24"/>
        </w:rPr>
        <w:t>系统测试退出评估</w:t>
      </w:r>
    </w:p>
    <w:p>
      <w:pPr>
        <w:spacing w:after="120"/>
      </w:pPr>
      <w:r>
        <w:rPr>
          <w:rFonts w:ascii="Times New Roman" w:hAnsi="Times New Roman" w:eastAsia="微软雅黑"/>
          <w:b w:val="0"/>
          <w:color w:val="000000"/>
          <w:sz w:val="22"/>
        </w:rPr>
        <w:t>补充实验增加了代码质量、核心逻辑和所测接口的验证依据，但尚未满足真人、真机、跨环境和长期观察等专项条件。因此本报告仍保留59项PASS、17项BLOCKED和77.6%的执行完成率，整体退出准则仍未通过。Q006既有执行日志中的成功率与状态口径差异也未由短时查询负载替代解决。</w:t>
      </w:r>
    </w:p>
    <w:p>
      <w:pPr>
        <w:pStyle w:val="Heading1"/>
        <w:pageBreakBefore/>
      </w:pPr>
      <w:r>
        <w:rPr>
          <w:rFonts w:ascii="Times New Roman" w:hAnsi="Times New Roman" w:eastAsia="微软雅黑"/>
          <w:b/>
          <w:color w:val="000000"/>
          <w:sz w:val="22"/>
        </w:rPr>
        <w:t>七、结论与后续工作</w:t>
      </w:r>
    </w:p>
    <w:p>
      <w:pPr>
        <w:widowControl/>
        <w:ind w:firstLine="397"/>
      </w:pPr>
      <w:r>
        <w:rPr>
          <w:rFonts w:ascii="Times New Roman" w:hAnsi="Times New Roman" w:eastAsia="微软雅黑" w:cs="Times New Roman"/>
          <w:b w:val="0"/>
          <w:color w:val="243447"/>
          <w:sz w:val="21"/>
        </w:rPr>
        <w:t>本轮已完成 TestLink 需求、用例、计划及构建配置，并在隔离 MES 环境执行了部分功能和质量专项测试。52 项需求均建立用例关联；59 项已完成用例全部通过，3 项高严重度缺陷已修复并完成关联回归。</w:t>
      </w:r>
    </w:p>
    <w:p>
      <w:pPr>
        <w:widowControl/>
        <w:ind w:firstLine="397"/>
      </w:pPr>
      <w:r>
        <w:rPr>
          <w:rFonts w:ascii="Times New Roman" w:hAnsi="Times New Roman" w:eastAsia="微软雅黑" w:cs="Times New Roman"/>
          <w:b w:val="0"/>
          <w:color w:val="243447"/>
          <w:sz w:val="21"/>
        </w:rPr>
        <w:t>系统测试整体退出准则未通过。76 项用例中仍有 17 项 BLOCKED，执行完成率和按计划用例数计算的总体通过率均为 77.6%，高优先级用例中仍有 3 项阻塞。后续需完成阻塞用例补测，再进行整体退出评估。</w:t>
      </w:r>
    </w:p>
    <w:p>
      <w:pPr>
        <w:ind w:left="312" w:hanging="198"/>
      </w:pPr>
      <w:r>
        <w:rPr>
          <w:rFonts w:ascii="Times New Roman" w:hAnsi="Times New Roman" w:eastAsia="微软雅黑" w:cs="Times New Roman"/>
          <w:b w:val="0"/>
          <w:color w:val="243447"/>
          <w:sz w:val="20"/>
        </w:rPr>
        <w:t>• 准备真人用户、微信小程序客户端、Android/iOS 真机、长期观察周期和独立兼容环境，逐项补测 17 项阻塞用例。</w:t>
      </w:r>
    </w:p>
    <w:p>
      <w:pPr>
        <w:ind w:left="312" w:hanging="198"/>
      </w:pPr>
      <w:r>
        <w:rPr>
          <w:rFonts w:ascii="Times New Roman" w:hAnsi="Times New Roman" w:eastAsia="微软雅黑" w:cs="Times New Roman"/>
          <w:b w:val="0"/>
          <w:color w:val="243447"/>
          <w:sz w:val="20"/>
        </w:rPr>
        <w:t>• 复测时补录 MES 代码提交号、工作区变更、浏览器/设备、数据基线及实际执行人员，形成可复现的构建记录。</w:t>
      </w:r>
    </w:p>
    <w:p>
      <w:pPr>
        <w:ind w:left="312" w:hanging="198"/>
      </w:pPr>
      <w:r>
        <w:rPr>
          <w:rFonts w:ascii="Times New Roman" w:hAnsi="Times New Roman" w:eastAsia="微软雅黑" w:cs="Times New Roman"/>
          <w:b w:val="0"/>
          <w:color w:val="243447"/>
          <w:sz w:val="20"/>
        </w:rPr>
        <w:t>• 对 Q006 容量记录作专项复核：TestLink 状态记录为 PASS，但执行日志同时记录成功率 86% 且受 Windows 客户端 TIME_WAIT 资源影响；应在独立发压端复测后再形成容量结论。</w:t>
      </w:r>
    </w:p>
    <w:p>
      <w:pPr>
        <w:ind w:left="312" w:hanging="198"/>
      </w:pPr>
      <w:r>
        <w:rPr>
          <w:rFonts w:ascii="Times New Roman" w:hAnsi="Times New Roman" w:eastAsia="微软雅黑" w:cs="Times New Roman"/>
          <w:b w:val="0"/>
          <w:color w:val="243447"/>
          <w:sz w:val="20"/>
        </w:rPr>
        <w:t>• 正式评审记录或签字如为课程提交要求，应由小组按真实情况补充，不以本报告代替审批记录。</w:t>
      </w:r>
    </w:p>
    <w:sectPr w:rsidR="00FC693F" w:rsidRPr="0006063C" w:rsidSect="00034616">
      <w:footerReference w:type="default" r:id="rId9"/>
      <w:pgSz w:w="11906" w:h="16838"/>
      <w:pgMar w:top="1077"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微软雅黑" w:cs="Times New Roman"/>
        <w:color w:val="667085"/>
        <w:sz w:val="18"/>
      </w:rPr>
      <w:t xml:space="preserve">软件测试与质量保证　·　实验2　　|　　第 </w:t>
    </w:r>
    <w:r>
      <w:rPr>
        <w:rFonts w:ascii="Times New Roman" w:hAnsi="Times New Roman" w:eastAsia="微软雅黑" w:cs="Times New Roman"/>
        <w:color w:val="667085"/>
        <w:sz w:val="18"/>
      </w:rPr>
      <w:fldChar w:fldCharType="begin"/>
      <w:instrText xml:space="preserve">PAGE</w:instrText>
      <w:fldChar w:fldCharType="separate"/>
      <w:t>1</w:t>
      <w:fldChar w:fldCharType="end"/>
    </w:r>
    <w:r>
      <w:rPr>
        <w:rFonts w:ascii="Times New Roman" w:hAnsi="Times New Roman" w:eastAsia="微软雅黑" w:cs="Times New Roman"/>
        <w:color w:val="667085"/>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Times New Roman" w:hAnsi="Times New Roman" w:eastAsia="微软雅黑"/>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Times New Roman" w:hAnsi="Times New Roman" w:eastAsia="微软雅黑"/>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Keyboard MES 系统测试报告</dc:title>
  <dc:subject>系统测试报告</dc:subject>
  <dc:creator>第22组</dc:creator>
  <cp:keywords>软件测试与质量保证; 实验2; Keyboard MES</cp:keywords>
  <dc:description>generated by python-docx</dc:description>
  <cp:lastModifiedBy/>
  <cp:revision>1</cp:revision>
  <dcterms:created xsi:type="dcterms:W3CDTF">2013-12-23T23:15:00Z</dcterms:created>
  <dcterms:modified xsi:type="dcterms:W3CDTF">2013-12-23T23:15:00Z</dcterms:modified>
  <cp:category/>
</cp:coreProperties>
</file>