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微软雅黑"/>
          <w:b/>
          <w:color w:val="000000"/>
          <w:sz w:val="40"/>
        </w:rPr>
        <w:t>实验4 静态分析实验报告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课程：软件测试与质量保证    小组：第22组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测试对象：Keyboard MES后端    实验日期：2026年10月11日</w:t>
      </w:r>
    </w:p>
    <w:p>
      <w:pPr>
        <w:keepNext/>
        <w:spacing w:before="180"/>
      </w:pPr>
      <w:r>
        <w:rPr>
          <w:rFonts w:ascii="Times New Roman" w:hAnsi="Times New Roman" w:eastAsia="微软雅黑"/>
          <w:b/>
          <w:color w:val="000000"/>
          <w:sz w:val="26"/>
        </w:rPr>
        <w:t>1 实验目的与测试范围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本次使用SpotBugs和Alibaba Java Coding Guidelines检查后端代码，核查告警，并在相同范围复查。阿里规约检查覆盖72个Java源文件，结果为0项告警；SpotBugs分析73个编译类，发现15项告警。逐项核查后，13项判为当前框架场景下的误报，2项作为共享组件的设计风险保留，未发现需要修复的源码缺陷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分析范围为后端正式代码，不包含单元测试、前端、小程序或依赖库本身。现有FindBugs分析及此前规约修正结果用于追溯，与本次结果分开统计。</w:t>
      </w:r>
    </w:p>
    <w:p>
      <w:pPr>
        <w:keepNext/>
        <w:spacing w:before="180"/>
      </w:pPr>
      <w:r>
        <w:rPr>
          <w:rFonts w:ascii="Times New Roman" w:hAnsi="Times New Roman" w:eastAsia="微软雅黑"/>
          <w:b/>
          <w:color w:val="000000"/>
          <w:sz w:val="26"/>
        </w:rPr>
        <w:t>2 工具与扫描结果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SpotBugs使用官方4.10.4发行包，由JDK 17直接运行。后端通过Maven 3.9.9重新编译，清除旧类残留后得到73个类。扫描启用最大分析强度并报告所有优先级，提供项目实际依赖作为辅助类路径。初次扫描与复查均无分析错误和缺失类，没有修改工具或添加告警排除规则。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Alibaba Java Coding Guidelines使用阿里官方P3C PMD规则2.1.1，配合PMD 6.55.0解析Java 17源码，启用异常、注释、命名、集合、并发等十组规则。检测范围为上述十组规则。扫描日志出现DFA迭代提示，XML结果未记录处理错误。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/>
        </w:trP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工具</w:t>
            </w:r>
          </w:p>
        </w:tc>
        <w:tc>
          <w:tcPr>
            <w:tcW w:type="dxa" w:w="277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分析范围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初次告警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复查告警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SpotBugs 4.10.4</w:t>
            </w:r>
          </w:p>
        </w:tc>
        <w:tc>
          <w:tcPr>
            <w:tcW w:type="dxa" w:w="277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73个编译类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Alibaba Java Coding Guidelines</w:t>
            </w:r>
          </w:p>
        </w:tc>
        <w:tc>
          <w:tcPr>
            <w:tcW w:type="dxa" w:w="277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72个源文件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0</w:t>
            </w:r>
          </w:p>
        </w:tc>
      </w:tr>
    </w:tbl>
    <w:p/>
    <w:p>
      <w:pPr/>
      <w:r>
        <w:rPr>
          <w:rFonts w:ascii="Times New Roman" w:hAnsi="Times New Roman" w:eastAsia="微软雅黑"/>
          <w:b w:val="0"/>
          <w:color w:val="000000"/>
          <w:sz w:val="22"/>
        </w:rPr>
        <w:t>复查仍发现15项共享依赖告警。经核查，现有设计保持不变，告警的具体判断与保留理由见下节。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Bugs检测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color w:val="000000"/>
          <w:sz w:val="18"/>
        </w:rPr>
        <w:t>图1 SpotBugs原生HTML报告中的版本、分析范围和告警统计</w:t>
      </w:r>
    </w:p>
    <w:p>
      <w:pPr>
        <w:keepNext/>
        <w:spacing w:before="180"/>
      </w:pPr>
      <w:r>
        <w:rPr>
          <w:rFonts w:ascii="Times New Roman" w:hAnsi="Times New Roman" w:eastAsia="微软雅黑"/>
          <w:b/>
          <w:color w:val="000000"/>
          <w:sz w:val="26"/>
        </w:rPr>
        <w:t>3 SpotBugs告警核查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15项告警均为EI_EXPOSE_REP2，即构造器保存外部可变对象引用。判定时结合依赖来源、字段访问范围、对象用途及配置修改位置，而非仅依据告警名称。结果如下。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/>
        </w:trP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位置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数量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人工判断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DCE6F1"/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处理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WebConfig的拦截器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框架场景误报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保留Spring注入与MVC注册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ReportServiceImpl的Mapper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框架场景误报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保留MyBatis代理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TraceServiceImpl的Mapper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框架场景误报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保留MyBatis代理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MesShiroRealm的Mapper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框架场景误报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保留Bean工厂注入</w:t>
            </w:r>
          </w:p>
        </w:tc>
      </w:tr>
      <w:tr>
        <w:tc>
          <w:tcPr>
            <w:tcW w:type="dxa" w:w="3005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AuthSessionService的共享组件</w:t>
            </w:r>
          </w:p>
        </w:tc>
        <w:tc>
          <w:tcPr>
            <w:tcW w:type="dxa" w:w="79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2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设计风险保留</w:t>
            </w:r>
          </w:p>
        </w:tc>
        <w:tc>
          <w:tcPr>
            <w:tcW w:type="dxa" w:w="3061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spacing w:before="80" w:after="8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20"/>
              </w:rPr>
              <w:t>维持初始化后配置稳定</w:t>
            </w:r>
          </w:p>
        </w:tc>
      </w:tr>
    </w:tbl>
    <w:p/>
    <w:p>
      <w:pPr/>
      <w:r>
        <w:rPr>
          <w:rFonts w:ascii="Times New Roman" w:hAnsi="Times New Roman" w:eastAsia="微软雅黑"/>
          <w:b w:val="0"/>
          <w:color w:val="000000"/>
          <w:sz w:val="22"/>
        </w:rPr>
        <w:t>前13项保存的是容器管理的协作对象，字段均为private final，未发现对外返回这些依赖的接口。Mapper本身是数据库代理，拦截器须注册到MVC；复制这些对象不符合现有框架协作方式。因此在当前项目使用场景下判为误报，不据此改变构造器注入。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另外2项涉及ObjectMapper和StringRedisTemplate。项目使用它们进行JSON转换和Redis数据访问，未发现运行期重新配置连接工厂、序列化器或JSON规则的调用，但对象共享与配置可变性客观存在。因此这2项不计为误报，保留当前设计风险：组件应在初始化时完成配置，开始处理请求后不得随意重配置。若后续增加动态配置功能，应重新评估并明确隔离方式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误报率按“误报数除以已核查告警数”计算，为13/15=86.7%；设计风险为2项，确认需要修复的源码缺陷为0项。该比例仅针对本次EI_EXPOSE_REP2告警，不表示SpotBugs整体准确率。阿里规约未产生告警，误报率不适用。</w:t>
      </w:r>
    </w:p>
    <w:p>
      <w:pPr>
        <w:keepNext/>
        <w:spacing w:before="180"/>
      </w:pPr>
      <w:r>
        <w:rPr>
          <w:rFonts w:ascii="Times New Roman" w:hAnsi="Times New Roman" w:eastAsia="微软雅黑"/>
          <w:b/>
          <w:color w:val="000000"/>
          <w:sz w:val="26"/>
        </w:rPr>
        <w:t>4 历史修正与结果衔接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此前阿里规约扫描发现208项不符合，涉及接口Javadoc、作者标注、常量、集合容量和方法长度；完成修正后复查为0项。本次重新扫描仍为0项，说明当前代码在同一组已启用规则下保持原有结果。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2026年10月8日的FindBugs兼容分析覆盖73个类，发现8项告警，修正7项后复查剩1项编译器生成代码误报；同日96项既有单元测试全部通过。本次SpotBugs使用官方发行包直接分析Java 17，不沿用FindBugs工具适配。两种工具的检测实现与告警类型不同，不能把告警总数变化直接解释为代码质量退步。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10月11日的补充分析未涉及业务源码修改；单元测试采用10月8日的回归结果，覆盖率沿用实验3的数据。</w:t>
      </w:r>
    </w:p>
    <w:p>
      <w:pPr>
        <w:keepNext/>
        <w:spacing w:before="180"/>
      </w:pPr>
      <w:r>
        <w:rPr>
          <w:rFonts w:ascii="Times New Roman" w:hAnsi="Times New Roman" w:eastAsia="微软雅黑"/>
          <w:b/>
          <w:color w:val="000000"/>
          <w:sz w:val="26"/>
        </w:rPr>
        <w:t>5 实验总结</w:t>
      </w:r>
    </w:p>
    <w:p>
      <w:pPr/>
      <w:r>
        <w:rPr>
          <w:rFonts w:ascii="Times New Roman" w:hAnsi="Times New Roman" w:eastAsia="微软雅黑"/>
          <w:b w:val="0"/>
          <w:color w:val="000000"/>
          <w:sz w:val="22"/>
        </w:rPr>
        <w:t>本次完成了两种工具的检测、告警核查与复查。阿里规约检查未发现新的不符合项；SpotBugs的15项告警中，13项属于当前框架场景下的误报，2项作为共享组件设计风险保留。后续维护应关注共享组件的配置稳定性，并结合其他测试方法继续检查静态分析范围之外的问题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