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00"/>
      </w:pPr>
      <w:r>
        <w:rPr>
          <w:rFonts w:ascii="Times New Roman" w:hAnsi="Times New Roman" w:eastAsia="微软雅黑"/>
          <w:b/>
          <w:color w:val="000000"/>
          <w:sz w:val="40"/>
        </w:rPr>
        <w:t>实验5 接口测试实验报告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课程：软件测试与质量保证    小组：第22组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测试对象：Keyboard MES后端    实验日期：2026年10月7日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1 实验目的与测试范围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依据课程上机5安排，本实验使用Postman集合组织接口测试，通过Newman执行并统计结果。业务测试覆盖工单、生产任务和生产报表三类服务，并补充登录、退出及异常状态验证。最终执行10个请求、20项断言，全部通过。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2 环境与测试设计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测试复用已有keyboard_mes_lab2隔离数据库，后端运行于本机8088端口。为避免影响共享缓存，本次使用独立Redis实例和端口16379。测试仅查询业务数据，并创建和结束测试登录会话，没有创建工单、报工或质检记录。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Postman集合采用v2.1格式，Newman版本为6.2.1。登录成功后提取会话标识，作为后续请求的Authorization值；工单列表返回的首个编号作为详情查询输入，避免固定依赖某个业务编号。账号和密码在执行时传入，共享集合中的默认值为空。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3 用例与结果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3286"/>
            <w:shd w:fill="DCE6F1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测试内容</w:t>
            </w:r>
          </w:p>
        </w:tc>
        <w:tc>
          <w:tcPr>
            <w:tcW w:type="dxa" w:w="3286"/>
            <w:shd w:fill="DCE6F1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主要验证点</w:t>
            </w:r>
          </w:p>
        </w:tc>
        <w:tc>
          <w:tcPr>
            <w:tcW w:type="dxa" w:w="3286"/>
            <w:shd w:fill="DCE6F1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健康检查与登录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服务状态、业务成功码、会话标识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工单列表与详情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列表非空、关键字段、数量及详情编号一致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生产任务列表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列表结构、工单关联和状态范围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生产概览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报工数量及质量指标结构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周质量报表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周期为week、趋势数据包含7天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不存在的工单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业务错误码与空数据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退出与退出后查询</w:t>
            </w:r>
          </w:p>
        </w:tc>
        <w:tc>
          <w:tcPr>
            <w:tcW w:type="dxa" w:w="3286"/>
          </w:tcPr>
          <w:p>
            <w:pPr>
              <w:keepNext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退出成功、失效会话返回未登录状态</w:t>
            </w:r>
          </w:p>
        </w:tc>
        <w:tc>
          <w:tcPr>
            <w:tcW w:type="dxa" w:w="3286"/>
          </w:tcPr>
          <w:p>
            <w:pPr>
              <w:keepNext w:val="0"/>
              <w:keepLines/>
              <w:spacing w:after="60" w:before="60" w:line="264" w:lineRule="auto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通过</w:t>
            </w:r>
          </w:p>
        </w:tc>
      </w:tr>
    </w:tbl>
    <w:p/>
    <w:p>
      <w:r>
        <w:rPr>
          <w:rFonts w:ascii="Times New Roman" w:hAnsi="Times New Roman" w:eastAsia="微软雅黑"/>
          <w:b w:val="0"/>
          <w:color w:val="000000"/>
          <w:sz w:val="22"/>
        </w:rPr>
        <w:t>验证同时检查HTTP状态和业务响应，避免仅凭HTTP 200判定通过。例如，不存在工单和退出后的会话查询都以HTTP 200返回，但业务码分别为500和401，断言按接口实际契约判断。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首次执行时，质量趋势断言误用了trend字段。核对接口实现后改为trendData，并检查其长度为7；这是测试脚本修正，没有作为系统缺陷登记。修正后重新执行完整集合，最终10个请求、20项断言均通过，失败数为0。</w:t>
      </w:r>
    </w:p>
    <w:p>
      <w:pPr>
        <w:keepNext/>
        <w:spacing w:before="200"/>
      </w:pPr>
      <w:r>
        <w:rPr>
          <w:rFonts w:ascii="Times New Roman" w:hAnsi="Times New Roman" w:eastAsia="微软雅黑"/>
          <w:b/>
          <w:color w:val="17365D"/>
          <w:sz w:val="26"/>
        </w:rPr>
        <w:t>4 结果分析与总结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本次验证表明，在现有隔离库数据和管理员测试会话下，三类业务查询及所测会话操作符合预期。集合通过动态编号提取和会话变量传递串联请求，并使用业务断言检查响应，可作为后续接口回归的基础。</w:t>
      </w:r>
    </w:p>
    <w:p>
      <w:r>
        <w:rPr>
          <w:rFonts w:ascii="Times New Roman" w:hAnsi="Times New Roman" w:eastAsia="微软雅黑"/>
          <w:b w:val="0"/>
          <w:color w:val="000000"/>
          <w:sz w:val="22"/>
        </w:rPr>
        <w:t>测试范围限于本次查询和会话场景，尚未覆盖业务写入、所有角色权限和全部接口组合，不能据此判断整个系统测试通过。下一步可围绕工单状态变化和不同角色增加独立用例，并保留相应数据清理安排。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/>
        <w:b w:val="0"/>
        <w:color w:val="666666"/>
        <w:sz w:val="18"/>
      </w:rPr>
      <w:t xml:space="preserve">软件测试与质量保证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