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00"/>
      </w:pPr>
      <w:r>
        <w:rPr>
          <w:rFonts w:ascii="Times New Roman" w:hAnsi="Times New Roman" w:eastAsia="微软雅黑"/>
          <w:b/>
          <w:color w:val="000000"/>
          <w:sz w:val="40"/>
        </w:rPr>
        <w:t>实验4 静态分析实验报告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实验目的与完成情况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实验依据课程上机4安排，对后端代码进行编程规约检查和FindBugs缺陷检测，并核查告警、修正问题和复查结果。规约扫描覆盖72个Java源文件，初次发现208项不符合，完成修正后同范围复查为0项。原版FindBugs受Java 17字节码兼容性限制，仅完成14个类的有限分析，因此本实验尚未完成全部代码的FindBugs检测要求。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工具与分析方法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项目仍以JDK 17和Maven 3.9.11构建。规约检查使用阿里官方P3C PMD规则2.1.1，配合PMD 6.55.0解析Java 17源码，启用异常、注释、命名、流程控制、集合、面向对象等十组规则。为使旧规则包的消息资源能由JDK 17读取，仅补充Properties XML所需的DOCTYPE声明，规则实现保持原样。扫描日志出现DFA迭代上限提示，XML未记录处理错误；扫描结果只代表这些已启用规则的检测范围。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FindBugs使用课程指定的3.0.1原版，未替换为其他工具。该工具不能正常解析项目的Java 17编译产物。为展示原工具的分析过程，将entity、dto和util中的14个源文件另行编译为Java 8字节码副本，并用Temurin JRE 8运行FindBugs。副本只用于静态分析，不代表应用能够在Java 8上运行，项目运行版本未降低。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告警核查与代码改进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逐项核查中，接口方法缺少Javadoc和类注释缺少作者标注均有明确代码依据；其余告警涉及常量命名、集合初始容量及方法长度，属于可读性和维护性问题。此次规约告警未判定出需要单独登记的业务功能缺陷。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2464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规约问题</w:t>
            </w:r>
          </w:p>
        </w:tc>
        <w:tc>
          <w:tcPr>
            <w:tcW w:type="dxa" w:w="2464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初次数量</w:t>
            </w:r>
          </w:p>
        </w:tc>
        <w:tc>
          <w:tcPr>
            <w:tcW w:type="dxa" w:w="2464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处理方式</w:t>
            </w:r>
          </w:p>
        </w:tc>
        <w:tc>
          <w:tcPr>
            <w:tcW w:type="dxa" w:w="2464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复查数量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接口方法Javadoc不足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118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补充用途、参数和返回值说明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作者标注缺失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71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统一标注Keyboard MES项目组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常量未命名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16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提取请求方法、角色和周期等具名常量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集合未指定初始容量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按权限映射规模指定容量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方法超过建议长度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提取缺陷和趋势聚合方法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合计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208</w:t>
            </w:r>
          </w:p>
        </w:tc>
        <w:tc>
          <w:tcPr>
            <w:tcW w:type="dxa" w:w="2464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完成同范围复查</w:t>
            </w:r>
          </w:p>
        </w:tc>
        <w:tc>
          <w:tcPr>
            <w:tcW w:type="dxa" w:w="2464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以生产质量报表的quality方法为例，原方法集中处理缺陷分类和日趋势统计，长度超过80行。改进后分别由buildDefectMap和buildTrendMap完成对应聚合，原计算顺序、筛选条件及返回结构保持一致。权限拦截器中的HTTP方法和路径模式也改为具名常量，便于核对各角色允许访问的操作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复查与误报率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P3C告警208项均完成核查，确认规约不符合208项，误报0项，按“误报数除以已核查告警数”计算，误报率为0%。该比例仅针对本次规约告警，不表示检测工具能够发现所有代码问题。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FindBugs对14个临时分析类的初次扫描和复查均未发现告警，错误数和缺失类数均为0。由于没有告警可供核查，其误报率不适用。其余58个源文件未取得有效FindBugs分析结果，不能据此判断整个后端没有缺陷。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代码改进后执行现有19个测试类的96项单元测试，全部通过，失败、错误及跳过均为0。最终回归采用Maven离线模式和同一JVM运行，以避开本机受限环境下测试子进程的启动问题；此次仅用于验证现有行为，未形成新的覆盖率结论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5 实验总结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规约检查推动了接口说明、常量命名和报表方法结构的改进，复查未再报出本次规则中的不符合项。FindBugs的有限分析已保留结果与范围，但Java 17全项目分析仍需解决旧工具兼容性，完成后才能补齐课程要求。工具输出应结合源码核查使用，规约问题与业务缺陷需分别理解。</w:t>
      </w:r>
    </w:p>
    <w:sectPr w:rsidR="00FC693F" w:rsidRPr="0006063C" w:rsidSect="00034616">
      <w:footerReference w:type="default" r:id="rId9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