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</w:pPr>
      <w:r>
        <w:rPr>
          <w:rFonts w:ascii="Times New Roman" w:hAnsi="Times New Roman" w:eastAsia="微软雅黑" w:cs="Times New Roman"/>
          <w:b/>
          <w:color w:val="17365D"/>
          <w:sz w:val="44"/>
        </w:rPr>
        <w:t>Keyboard MES 系统测试报告</w:t>
      </w:r>
    </w:p>
    <w:p>
      <w:pPr>
        <w:spacing w:after="60"/>
        <w:jc w:val="center"/>
      </w:pPr>
      <w:r>
        <w:rPr>
          <w:rFonts w:ascii="Times New Roman" w:hAnsi="Times New Roman" w:eastAsia="微软雅黑" w:cs="Times New Roman"/>
          <w:b w:val="0"/>
          <w:color w:val="526273"/>
          <w:sz w:val="21"/>
        </w:rPr>
        <w:t>课程：软件测试与质量保证　　实验：上机2 软件测试管理　　项目：第22组</w:t>
      </w:r>
    </w:p>
    <w:p>
      <w:pPr>
        <w:spacing w:after="60"/>
        <w:jc w:val="center"/>
      </w:pPr>
      <w:r>
        <w:rPr>
          <w:rFonts w:ascii="Times New Roman" w:hAnsi="Times New Roman" w:eastAsia="微软雅黑" w:cs="Times New Roman"/>
          <w:b w:val="0"/>
          <w:color w:val="526273"/>
          <w:sz w:val="21"/>
        </w:rPr>
        <w:t>测试对象：Keyboard MES 键盘装配制造执行系统</w:t>
      </w:r>
    </w:p>
    <w:p>
      <w:pPr>
        <w:spacing w:after="60"/>
        <w:jc w:val="center"/>
      </w:pPr>
      <w:r>
        <w:rPr>
          <w:rFonts w:ascii="Times New Roman" w:hAnsi="Times New Roman" w:eastAsia="微软雅黑" w:cs="Times New Roman"/>
          <w:b w:val="0"/>
          <w:color w:val="526273"/>
          <w:sz w:val="21"/>
        </w:rPr>
        <w:t>测试计划与构建：Keyboard MES 系统测试计划 v1.0　/　LAB2-B01　　测试日期：2026年9月22日</w:t>
      </w:r>
    </w:p>
    <w:p>
      <w:pPr>
        <w:spacing w:after="60"/>
        <w:jc w:val="center"/>
      </w:pPr>
      <w:r>
        <w:rPr>
          <w:rFonts w:ascii="Times New Roman" w:hAnsi="Times New Roman" w:eastAsia="微软雅黑" w:cs="Times New Roman"/>
          <w:b w:val="0"/>
          <w:color w:val="526273"/>
          <w:sz w:val="21"/>
        </w:rPr>
        <w:t>结果统计截至：2026年9月23日　　文档修订：2026年9月29日</w:t>
      </w:r>
    </w:p>
    <w:p>
      <w:pPr>
        <w:spacing w:after="0"/>
      </w:pPr>
    </w:p>
    <w:p>
      <w:pPr>
        <w:spacing w:before="20" w:after="60"/>
      </w:pPr>
      <w:r>
        <w:rPr>
          <w:rFonts w:ascii="Times New Roman" w:hAnsi="Times New Roman" w:eastAsia="微软雅黑" w:cs="Times New Roman"/>
          <w:b/>
          <w:color w:val="17365D"/>
          <w:sz w:val="20"/>
        </w:rPr>
        <w:t>小组成员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042"/>
        <w:gridCol w:w="5390"/>
      </w:tblGrid>
      <w:tr>
        <w:trPr>
          <w:cantSplit/>
          <w:tblHeader w:val="true"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学号</w:t>
            </w:r>
          </w:p>
        </w:tc>
      </w:tr>
      <w:tr>
        <w:trPr>
          <w:cantSplit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乔通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2407020419</w:t>
            </w:r>
          </w:p>
        </w:tc>
      </w:tr>
      <w:tr>
        <w:trPr>
          <w:cantSplit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李政良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2407020415</w:t>
            </w:r>
          </w:p>
        </w:tc>
      </w:tr>
      <w:tr>
        <w:trPr>
          <w:cantSplit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昝泓志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2407020416</w:t>
            </w:r>
          </w:p>
        </w:tc>
      </w:tr>
      <w:tr>
        <w:trPr>
          <w:cantSplit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徐西岳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2407020417</w:t>
            </w:r>
          </w:p>
        </w:tc>
      </w:tr>
      <w:tr>
        <w:trPr>
          <w:cantSplit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王佳欣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2407020407</w:t>
            </w:r>
          </w:p>
        </w:tc>
      </w:tr>
    </w:tbl>
    <w:p>
      <w:pPr>
        <w:spacing w:after="20" w:before="0"/>
      </w:pPr>
    </w:p>
    <w:p>
      <w:pPr>
        <w:spacing w:after="0"/>
      </w:pPr>
    </w:p>
    <w:p>
      <w:pPr>
        <w:pStyle w:val="Heading1"/>
      </w:pPr>
      <w:r>
        <w:t>一、测试概况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本报告记录 Keyboard MES 在隔离环境中的系统测试执行情况。测试对象覆盖 Web 管理端、微信小程序现场端、Spring Boot 后端及 MySQL、Redis 集成行为，围绕登录与岗位权限、基础资料、工单任务、报工、检验、返修复检、SN 追溯、统计报表和质量特性开展验证。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本轮测试按 TestLink 测试计划 v1.0、构建 LAB2-B01 执行。计划包含 52 项需求和 76 项用例，其中 36 项功能测试、40 项质量专项。报告同时区分 TestLink 状态记录覆盖率、执行完成率和用例通过率，BLOCKED 不计为已完成或通过。</w:t>
      </w:r>
    </w:p>
    <w:p>
      <w:pPr>
        <w:pStyle w:val="Heading2"/>
      </w:pPr>
      <w:r>
        <w:t>1.1 测试依据与范围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主要依据为课程上机安排及上机2任务说明、Keyboard MES 需求规约、上机1质量需求设计、系统测试计划 v1.0、系统测试用例和需求追踪矩阵。功能验证关注业务状态、数量约束、权限和数据一致性；质量专项覆盖功能适用性、性能效率、兼容性、交互性、可靠性、安全性、可维护性、灵活性和保护性。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测试范围不包括与真实 ERP、PLC、实体检测设备、安全联锁的端到端集成；需要真人、真机或长期观察的项目按实际条件保留阻塞状态。</w:t>
      </w:r>
    </w:p>
    <w:p>
      <w:pPr>
        <w:pStyle w:val="Heading1"/>
      </w:pPr>
      <w:r>
        <w:t>二、测试环境与管理配置</w:t>
      </w:r>
    </w:p>
    <w:p>
      <w:pPr>
        <w:pStyle w:val="Heading2"/>
      </w:pPr>
      <w:r>
        <w:t>2.1 软件与数据环境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264"/>
        <w:gridCol w:w="7168"/>
      </w:tblGrid>
      <w:tr>
        <w:trPr>
          <w:cantSplit/>
          <w:tblHeader w:val="true"/>
        </w:trPr>
        <w:tc>
          <w:tcPr>
            <w:tcW w:type="dxa" w:w="226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716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7"/>
              </w:rPr>
              <w:t>实际配置</w:t>
            </w:r>
          </w:p>
        </w:tc>
      </w:tr>
      <w:tr>
        <w:trPr>
          <w:cantSplit/>
        </w:trPr>
        <w:tc>
          <w:tcPr>
            <w:tcW w:type="dxa" w:w="226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操作系统与运行时</w:t>
            </w:r>
          </w:p>
        </w:tc>
        <w:tc>
          <w:tcPr>
            <w:tcW w:type="dxa" w:w="716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Windows 11；JDK 17；Spring Boot（Maven）；Vue 3 + Vite</w:t>
            </w:r>
          </w:p>
        </w:tc>
      </w:tr>
      <w:tr>
        <w:trPr>
          <w:cantSplit/>
        </w:trPr>
        <w:tc>
          <w:tcPr>
            <w:tcW w:type="dxa" w:w="226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业务数据服务</w:t>
            </w:r>
          </w:p>
        </w:tc>
        <w:tc>
          <w:tcPr>
            <w:tcW w:type="dxa" w:w="716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MySQL 8.4.3；Redis 5.0.14，逻辑库 15</w:t>
            </w:r>
          </w:p>
        </w:tc>
      </w:tr>
      <w:tr>
        <w:trPr>
          <w:cantSplit/>
        </w:trPr>
        <w:tc>
          <w:tcPr>
            <w:tcW w:type="dxa" w:w="226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隔离数据库</w:t>
            </w:r>
          </w:p>
        </w:tc>
        <w:tc>
          <w:tcPr>
            <w:tcW w:type="dxa" w:w="716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keyboard_mes_lab2；测试数据与原有业务库隔离</w:t>
            </w:r>
          </w:p>
        </w:tc>
      </w:tr>
      <w:tr>
        <w:trPr>
          <w:cantSplit/>
        </w:trPr>
        <w:tc>
          <w:tcPr>
            <w:tcW w:type="dxa" w:w="226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测试管理工具</w:t>
            </w:r>
          </w:p>
        </w:tc>
        <w:tc>
          <w:tcPr>
            <w:tcW w:type="dxa" w:w="716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TestLink 1.9.20 fixed；XAMPP Apache 2.4.58；PHP 8.2.12</w:t>
            </w:r>
          </w:p>
        </w:tc>
      </w:tr>
      <w:tr>
        <w:trPr>
          <w:cantSplit/>
        </w:trPr>
        <w:tc>
          <w:tcPr>
            <w:tcW w:type="dxa" w:w="226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TestLink 数据库</w:t>
            </w:r>
          </w:p>
        </w:tc>
        <w:tc>
          <w:tcPr>
            <w:tcW w:type="dxa" w:w="716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testlink_lab2；MES 测试计划 ID=108，构建 LAB2-B01</w:t>
            </w:r>
          </w:p>
        </w:tc>
      </w:tr>
      <w:tr>
        <w:trPr>
          <w:cantSplit/>
        </w:trPr>
        <w:tc>
          <w:tcPr>
            <w:tcW w:type="dxa" w:w="226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代码基线</w:t>
            </w:r>
          </w:p>
        </w:tc>
        <w:tc>
          <w:tcPr>
            <w:tcW w:type="dxa" w:w="716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MES 代码提交号未在执行报告中留存，复现实验时需补录</w:t>
            </w:r>
          </w:p>
        </w:tc>
      </w:tr>
    </w:tbl>
    <w:p>
      <w:pPr>
        <w:spacing w:after="20" w:before="0"/>
      </w:pPr>
    </w:p>
    <w:p>
      <w:pPr>
        <w:widowControl/>
      </w:pPr>
      <w:r>
        <w:rPr>
          <w:rFonts w:ascii="Times New Roman" w:hAnsi="Times New Roman" w:eastAsia="微软雅黑" w:cs="Times New Roman"/>
          <w:b w:val="0"/>
          <w:color w:val="526273"/>
          <w:sz w:val="21"/>
        </w:rPr>
        <w:t>执行期间使用独立测试数据库，测试后端、Redis 和前端服务现已关闭；后续复测须先检查环境，不应将既有交接状态当作当前运行状态。</w:t>
      </w:r>
    </w:p>
    <w:p>
      <w:pPr>
        <w:pStyle w:val="Heading2"/>
      </w:pPr>
      <w:r>
        <w:t>2.2 TestLink 项目与追踪关系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TestLink 项目为“Keyboard MES 系统测试”，前缀 KMES。需求规格 KMES-SRS 导入 52 项需求；功能测试和质量专项两个用例集共导入 76 项用例；需求与用例追踪关系逐项核对。测试计划 ID=108，执行构建为 LAB2-B01。</w:t>
      </w:r>
    </w:p>
    <w:p>
      <w:pPr>
        <w:keepLines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574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需求覆盖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574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40"/>
        <w:jc w:val="center"/>
      </w:pPr>
      <w:r>
        <w:rPr>
          <w:rFonts w:ascii="Times New Roman" w:hAnsi="Times New Roman" w:eastAsia="微软雅黑" w:cs="Times New Roman"/>
          <w:color w:val="526273"/>
          <w:sz w:val="18"/>
        </w:rPr>
        <w:t>图1　TestLink 需求覆盖视图：52 项需求均关联了测试用例</w:t>
      </w:r>
    </w:p>
    <w:p>
      <w:pPr>
        <w:pStyle w:val="Heading1"/>
      </w:pPr>
      <w:r>
        <w:t>三、执行结果与覆盖情况</w:t>
      </w:r>
    </w:p>
    <w:p>
      <w:pPr>
        <w:pStyle w:val="Heading2"/>
      </w:pPr>
      <w:r>
        <w:t>3.1 总体执行统计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8"/>
        <w:gridCol w:w="1998"/>
        <w:gridCol w:w="5435"/>
      </w:tblGrid>
      <w:tr>
        <w:trPr>
          <w:cantSplit/>
          <w:tblHeader w:val="true"/>
        </w:trPr>
        <w:tc>
          <w:tcPr>
            <w:tcW w:type="dxa" w:w="199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199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543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7"/>
              </w:rPr>
              <w:t>统计口径</w:t>
            </w:r>
          </w:p>
        </w:tc>
      </w:tr>
      <w:tr>
        <w:trPr>
          <w:cantSplit/>
        </w:trPr>
        <w:tc>
          <w:tcPr>
            <w:tcW w:type="dxa" w:w="199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需求追踪覆盖</w:t>
            </w:r>
          </w:p>
        </w:tc>
        <w:tc>
          <w:tcPr>
            <w:tcW w:type="dxa" w:w="199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52/52 = 100%</w:t>
            </w:r>
          </w:p>
        </w:tc>
        <w:tc>
          <w:tcPr>
            <w:tcW w:type="dxa" w:w="543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52 项纳入需求均至少关联一条有效用例</w:t>
            </w:r>
          </w:p>
        </w:tc>
      </w:tr>
      <w:tr>
        <w:trPr>
          <w:cantSplit/>
        </w:trPr>
        <w:tc>
          <w:tcPr>
            <w:tcW w:type="dxa" w:w="199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状态记录覆盖</w:t>
            </w:r>
          </w:p>
        </w:tc>
        <w:tc>
          <w:tcPr>
            <w:tcW w:type="dxa" w:w="199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76/76 = 100%</w:t>
            </w:r>
          </w:p>
        </w:tc>
        <w:tc>
          <w:tcPr>
            <w:tcW w:type="dxa" w:w="543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所有计划用例均有 PASS、FAIL 或 BLOCKED 状态</w:t>
            </w:r>
          </w:p>
        </w:tc>
      </w:tr>
      <w:tr>
        <w:trPr>
          <w:cantSplit/>
        </w:trPr>
        <w:tc>
          <w:tcPr>
            <w:tcW w:type="dxa" w:w="199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执行完成率</w:t>
            </w:r>
          </w:p>
        </w:tc>
        <w:tc>
          <w:tcPr>
            <w:tcW w:type="dxa" w:w="199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59/76 = 77.6%</w:t>
            </w:r>
          </w:p>
        </w:tc>
        <w:tc>
          <w:tcPr>
            <w:tcW w:type="dxa" w:w="543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(PASS + FAIL) / 计划用例数；BLOCKED 不计完成</w:t>
            </w:r>
          </w:p>
        </w:tc>
      </w:tr>
      <w:tr>
        <w:trPr>
          <w:cantSplit/>
        </w:trPr>
        <w:tc>
          <w:tcPr>
            <w:tcW w:type="dxa" w:w="199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用例总体通过率</w:t>
            </w:r>
          </w:p>
        </w:tc>
        <w:tc>
          <w:tcPr>
            <w:tcW w:type="dxa" w:w="199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59/76 = 77.6%</w:t>
            </w:r>
          </w:p>
        </w:tc>
        <w:tc>
          <w:tcPr>
            <w:tcW w:type="dxa" w:w="543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PASS / 计划用例数</w:t>
            </w:r>
          </w:p>
        </w:tc>
      </w:tr>
      <w:tr>
        <w:trPr>
          <w:cantSplit/>
        </w:trPr>
        <w:tc>
          <w:tcPr>
            <w:tcW w:type="dxa" w:w="199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已执行用例通过率</w:t>
            </w:r>
          </w:p>
        </w:tc>
        <w:tc>
          <w:tcPr>
            <w:tcW w:type="dxa" w:w="199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59/59 = 100%</w:t>
            </w:r>
          </w:p>
        </w:tc>
        <w:tc>
          <w:tcPr>
            <w:tcW w:type="dxa" w:w="543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PASS / (PASS + FAIL)，不代表全部范围已完成</w:t>
            </w:r>
          </w:p>
        </w:tc>
      </w:tr>
      <w:tr>
        <w:trPr>
          <w:cantSplit/>
        </w:trPr>
        <w:tc>
          <w:tcPr>
            <w:tcW w:type="dxa" w:w="199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失败用例</w:t>
            </w:r>
          </w:p>
        </w:tc>
        <w:tc>
          <w:tcPr>
            <w:tcW w:type="dxa" w:w="199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0 项</w:t>
            </w:r>
          </w:p>
        </w:tc>
        <w:tc>
          <w:tcPr>
            <w:tcW w:type="dxa" w:w="543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缺陷修复后关联用例均已回归通过</w:t>
            </w:r>
          </w:p>
        </w:tc>
      </w:tr>
      <w:tr>
        <w:trPr>
          <w:cantSplit/>
        </w:trPr>
        <w:tc>
          <w:tcPr>
            <w:tcW w:type="dxa" w:w="199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阻塞用例</w:t>
            </w:r>
          </w:p>
        </w:tc>
        <w:tc>
          <w:tcPr>
            <w:tcW w:type="dxa" w:w="199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17 项</w:t>
            </w:r>
          </w:p>
        </w:tc>
        <w:tc>
          <w:tcPr>
            <w:tcW w:type="dxa" w:w="543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7"/>
              </w:rPr>
              <w:t>因专项人员、设备、时间或环境条件不足未完成</w:t>
            </w:r>
          </w:p>
        </w:tc>
      </w:tr>
    </w:tbl>
    <w:p>
      <w:pPr>
        <w:spacing w:after="2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933"/>
        <w:gridCol w:w="1517"/>
        <w:gridCol w:w="1517"/>
        <w:gridCol w:w="1517"/>
        <w:gridCol w:w="1711"/>
        <w:gridCol w:w="2236"/>
      </w:tblGrid>
      <w:tr>
        <w:trPr>
          <w:cantSplit/>
          <w:tblHeader w:val="true"/>
        </w:trPr>
        <w:tc>
          <w:tcPr>
            <w:tcW w:type="dxa" w:w="933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5"/>
              </w:rPr>
              <w:t>测试类别</w:t>
            </w:r>
          </w:p>
        </w:tc>
        <w:tc>
          <w:tcPr>
            <w:tcW w:type="dxa" w:w="151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5"/>
              </w:rPr>
              <w:t>计划数</w:t>
            </w:r>
          </w:p>
        </w:tc>
        <w:tc>
          <w:tcPr>
            <w:tcW w:type="dxa" w:w="151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151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5"/>
              </w:rPr>
              <w:t>FAIL</w:t>
            </w:r>
          </w:p>
        </w:tc>
        <w:tc>
          <w:tcPr>
            <w:tcW w:type="dxa" w:w="1711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5"/>
              </w:rPr>
              <w:t>BLOCKED</w:t>
            </w:r>
          </w:p>
        </w:tc>
        <w:tc>
          <w:tcPr>
            <w:tcW w:type="dxa" w:w="223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5"/>
              </w:rPr>
              <w:t>按计划数通过率</w:t>
            </w:r>
          </w:p>
        </w:tc>
      </w:tr>
      <w:tr>
        <w:trPr>
          <w:cantSplit/>
        </w:trPr>
        <w:tc>
          <w:tcPr>
            <w:tcW w:type="dxa" w:w="933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功能测试 F001-F036</w:t>
            </w:r>
          </w:p>
        </w:tc>
        <w:tc>
          <w:tcPr>
            <w:tcW w:type="dxa" w:w="151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36</w:t>
            </w:r>
          </w:p>
        </w:tc>
        <w:tc>
          <w:tcPr>
            <w:tcW w:type="dxa" w:w="151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33</w:t>
            </w:r>
          </w:p>
        </w:tc>
        <w:tc>
          <w:tcPr>
            <w:tcW w:type="dxa" w:w="151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0</w:t>
            </w:r>
          </w:p>
        </w:tc>
        <w:tc>
          <w:tcPr>
            <w:tcW w:type="dxa" w:w="1711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3</w:t>
            </w:r>
          </w:p>
        </w:tc>
        <w:tc>
          <w:tcPr>
            <w:tcW w:type="dxa" w:w="223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91.7%</w:t>
            </w:r>
          </w:p>
        </w:tc>
      </w:tr>
      <w:tr>
        <w:trPr>
          <w:cantSplit/>
        </w:trPr>
        <w:tc>
          <w:tcPr>
            <w:tcW w:type="dxa" w:w="933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质量专项 Q001-Q040</w:t>
            </w:r>
          </w:p>
        </w:tc>
        <w:tc>
          <w:tcPr>
            <w:tcW w:type="dxa" w:w="151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40</w:t>
            </w:r>
          </w:p>
        </w:tc>
        <w:tc>
          <w:tcPr>
            <w:tcW w:type="dxa" w:w="151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26</w:t>
            </w:r>
          </w:p>
        </w:tc>
        <w:tc>
          <w:tcPr>
            <w:tcW w:type="dxa" w:w="151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0</w:t>
            </w:r>
          </w:p>
        </w:tc>
        <w:tc>
          <w:tcPr>
            <w:tcW w:type="dxa" w:w="1711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14</w:t>
            </w:r>
          </w:p>
        </w:tc>
        <w:tc>
          <w:tcPr>
            <w:tcW w:type="dxa" w:w="223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65.0%</w:t>
            </w:r>
          </w:p>
        </w:tc>
      </w:tr>
      <w:tr>
        <w:trPr>
          <w:cantSplit/>
        </w:trPr>
        <w:tc>
          <w:tcPr>
            <w:tcW w:type="dxa" w:w="933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合计</w:t>
            </w:r>
          </w:p>
        </w:tc>
        <w:tc>
          <w:tcPr>
            <w:tcW w:type="dxa" w:w="151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76</w:t>
            </w:r>
          </w:p>
        </w:tc>
        <w:tc>
          <w:tcPr>
            <w:tcW w:type="dxa" w:w="151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59</w:t>
            </w:r>
          </w:p>
        </w:tc>
        <w:tc>
          <w:tcPr>
            <w:tcW w:type="dxa" w:w="151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0</w:t>
            </w:r>
          </w:p>
        </w:tc>
        <w:tc>
          <w:tcPr>
            <w:tcW w:type="dxa" w:w="1711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17</w:t>
            </w:r>
          </w:p>
        </w:tc>
        <w:tc>
          <w:tcPr>
            <w:tcW w:type="dxa" w:w="223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5"/>
              </w:rPr>
              <w:t>77.6%</w:t>
            </w:r>
          </w:p>
        </w:tc>
      </w:tr>
    </w:tbl>
    <w:p>
      <w:pPr>
        <w:spacing w:after="20" w:before="0"/>
      </w:pPr>
    </w:p>
    <w:p>
      <w:pPr>
        <w:keepLines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5286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statu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528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40"/>
        <w:jc w:val="center"/>
      </w:pPr>
      <w:r>
        <w:rPr>
          <w:rFonts w:ascii="Times New Roman" w:hAnsi="Times New Roman" w:eastAsia="微软雅黑" w:cs="Times New Roman"/>
          <w:color w:val="526273"/>
          <w:sz w:val="18"/>
        </w:rPr>
        <w:t>图2　LAB2-B01 执行状态分布及统计口径</w:t>
      </w:r>
    </w:p>
    <w:p>
      <w:pPr>
        <w:pStyle w:val="Heading2"/>
      </w:pPr>
      <w:r>
        <w:t>3.2 高优先级及质量类别结果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高优先级用例共 49 项，其中 46 项通过、3 项阻塞（F031、Q018、Q023），按计划数通过率为 93.9%。功能用例 33/36 通过，质量专项 26/40 通过。100% 的状态记录覆盖只表示每项已有状态，不代表全部用例均已实际执行。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质量专项中，性能、可靠性、安全性、可维护性等部分场景已由测试人员和 F 线自动化脚本补测；需要长期观测、真人评价、微信小程序客户端或多环境安装的专项未用短时接口请求代替，继续保留 BLOCKED。</w:t>
      </w:r>
    </w:p>
    <w:p>
      <w:pPr>
        <w:pStyle w:val="Heading1"/>
      </w:pPr>
      <w:r>
        <w:t>四、典型测试结果与缺陷回归</w:t>
      </w:r>
    </w:p>
    <w:p>
      <w:pPr>
        <w:pStyle w:val="Heading2"/>
      </w:pPr>
      <w:r>
        <w:t>4.1 代表性执行结果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509"/>
        <w:gridCol w:w="2188"/>
        <w:gridCol w:w="4150"/>
        <w:gridCol w:w="1585"/>
      </w:tblGrid>
      <w:tr>
        <w:trPr>
          <w:cantSplit/>
          <w:tblHeader w:val="true"/>
        </w:trPr>
        <w:tc>
          <w:tcPr>
            <w:tcW w:type="dxa" w:w="1509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6"/>
              </w:rPr>
              <w:t>用例</w:t>
            </w:r>
          </w:p>
        </w:tc>
        <w:tc>
          <w:tcPr>
            <w:tcW w:type="dxa" w:w="218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6"/>
              </w:rPr>
              <w:t>测试点与条件</w:t>
            </w:r>
          </w:p>
        </w:tc>
        <w:tc>
          <w:tcPr>
            <w:tcW w:type="dxa" w:w="415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6"/>
              </w:rPr>
              <w:t>实际结果</w:t>
            </w:r>
          </w:p>
        </w:tc>
        <w:tc>
          <w:tcPr>
            <w:tcW w:type="dxa" w:w="158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1509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F018</w:t>
            </w:r>
          </w:p>
        </w:tc>
        <w:tc>
          <w:tcPr>
            <w:tcW w:type="dxa" w:w="218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计划 100、累计完成 0，提交报工 150</w:t>
            </w:r>
          </w:p>
        </w:tc>
        <w:tc>
          <w:tcPr>
            <w:tcW w:type="dxa" w:w="415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接口返回 400，提示报工量超过剩余计划量，未形成超量累计</w:t>
            </w:r>
          </w:p>
        </w:tc>
        <w:tc>
          <w:tcPr>
            <w:tcW w:type="dxa" w:w="158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PASS（修复后回归）</w:t>
            </w:r>
          </w:p>
        </w:tc>
      </w:tr>
      <w:tr>
        <w:trPr>
          <w:cantSplit/>
        </w:trPr>
        <w:tc>
          <w:tcPr>
            <w:tcW w:type="dxa" w:w="1509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F019</w:t>
            </w:r>
          </w:p>
        </w:tc>
        <w:tc>
          <w:tcPr>
            <w:tcW w:type="dxa" w:w="218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累计完成量小于计划量时提交完工</w:t>
            </w:r>
          </w:p>
        </w:tc>
        <w:tc>
          <w:tcPr>
            <w:tcW w:type="dxa" w:w="415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接口拒绝完工并返回未达计划数量信息</w:t>
            </w:r>
          </w:p>
        </w:tc>
        <w:tc>
          <w:tcPr>
            <w:tcW w:type="dxa" w:w="158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PASS（修复后回归）</w:t>
            </w:r>
          </w:p>
        </w:tc>
      </w:tr>
      <w:tr>
        <w:trPr>
          <w:cantSplit/>
        </w:trPr>
        <w:tc>
          <w:tcPr>
            <w:tcW w:type="dxa" w:w="1509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F026</w:t>
            </w:r>
          </w:p>
        </w:tc>
        <w:tc>
          <w:tcPr>
            <w:tcW w:type="dxa" w:w="218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启用质量门的工序完成报工并尝试完工</w:t>
            </w:r>
          </w:p>
        </w:tc>
        <w:tc>
          <w:tcPr>
            <w:tcW w:type="dxa" w:w="415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任务进入待质检状态，未被直接置为已完工</w:t>
            </w:r>
          </w:p>
        </w:tc>
        <w:tc>
          <w:tcPr>
            <w:tcW w:type="dxa" w:w="158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PASS（修复后回归）</w:t>
            </w:r>
          </w:p>
        </w:tc>
      </w:tr>
      <w:tr>
        <w:trPr>
          <w:cantSplit/>
        </w:trPr>
        <w:tc>
          <w:tcPr>
            <w:tcW w:type="dxa" w:w="1509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Q004</w:t>
            </w:r>
          </w:p>
        </w:tc>
        <w:tc>
          <w:tcPr>
            <w:tcW w:type="dxa" w:w="218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50 虚拟用户运行 60 秒，记录 30,158 个请求</w:t>
            </w:r>
          </w:p>
        </w:tc>
        <w:tc>
          <w:tcPr>
            <w:tcW w:type="dxa" w:w="415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平均响应 90.78 ms，P95 223.6 ms，P99 269 ms</w:t>
            </w:r>
          </w:p>
        </w:tc>
        <w:tc>
          <w:tcPr>
            <w:tcW w:type="dxa" w:w="158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PASS（执行记录）</w:t>
            </w:r>
          </w:p>
        </w:tc>
      </w:tr>
      <w:tr>
        <w:trPr>
          <w:cantSplit/>
        </w:trPr>
        <w:tc>
          <w:tcPr>
            <w:tcW w:type="dxa" w:w="1509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Q017</w:t>
            </w:r>
          </w:p>
        </w:tc>
        <w:tc>
          <w:tcPr>
            <w:tcW w:type="dxa" w:w="218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循环请求当前用户接口 10,000 次</w:t>
            </w:r>
          </w:p>
        </w:tc>
        <w:tc>
          <w:tcPr>
            <w:tcW w:type="dxa" w:w="415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10,000 次成功，未记录错误，总耗时 13.78 秒</w:t>
            </w:r>
          </w:p>
        </w:tc>
        <w:tc>
          <w:tcPr>
            <w:tcW w:type="dxa" w:w="158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509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Q019/Q020</w:t>
            </w:r>
          </w:p>
        </w:tc>
        <w:tc>
          <w:tcPr>
            <w:tcW w:type="dxa" w:w="2188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停止 Redis 后观察业务与恢复</w:t>
            </w:r>
          </w:p>
        </w:tc>
        <w:tc>
          <w:tcPr>
            <w:tcW w:type="dxa" w:w="415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JVM 未退出；Redis 恢复后业务恢复，记录恢复时间小于 30 秒</w:t>
            </w:r>
          </w:p>
        </w:tc>
        <w:tc>
          <w:tcPr>
            <w:tcW w:type="dxa" w:w="158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PASS</w:t>
            </w:r>
          </w:p>
        </w:tc>
      </w:tr>
    </w:tbl>
    <w:p>
      <w:pPr>
        <w:spacing w:after="20" w:before="0"/>
      </w:pPr>
    </w:p>
    <w:p>
      <w:pPr>
        <w:keepLines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782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st-run-summa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782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40"/>
        <w:jc w:val="center"/>
      </w:pPr>
      <w:r>
        <w:rPr>
          <w:rFonts w:ascii="Times New Roman" w:hAnsi="Times New Roman" w:eastAsia="微软雅黑" w:cs="Times New Roman"/>
          <w:color w:val="526273"/>
          <w:sz w:val="18"/>
        </w:rPr>
        <w:t>图3　功能测试首轮执行统计（修复前）：36 项功能用例中 3 项失败，后续已修复并回归</w:t>
      </w:r>
    </w:p>
    <w:p>
      <w:pPr>
        <w:pStyle w:val="Heading2"/>
      </w:pPr>
      <w:r>
        <w:t>4.2 高严重度缺陷及回归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660"/>
        <w:gridCol w:w="3697"/>
        <w:gridCol w:w="4075"/>
      </w:tblGrid>
      <w:tr>
        <w:trPr>
          <w:cantSplit/>
          <w:tblHeader w:val="true"/>
        </w:trPr>
        <w:tc>
          <w:tcPr>
            <w:tcW w:type="dxa" w:w="166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6"/>
              </w:rPr>
              <w:t>缺陷编号</w:t>
            </w:r>
          </w:p>
        </w:tc>
        <w:tc>
          <w:tcPr>
            <w:tcW w:type="dxa" w:w="369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6"/>
              </w:rPr>
              <w:t>问题表现</w:t>
            </w:r>
          </w:p>
        </w:tc>
        <w:tc>
          <w:tcPr>
            <w:tcW w:type="dxa" w:w="407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6"/>
              </w:rPr>
              <w:t>修复与回归结果</w:t>
            </w:r>
          </w:p>
        </w:tc>
      </w:tr>
      <w:tr>
        <w:trPr>
          <w:cantSplit/>
        </w:trPr>
        <w:tc>
          <w:tcPr>
            <w:tcW w:type="dxa" w:w="166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BUG-001 报工超量</w:t>
            </w:r>
          </w:p>
        </w:tc>
        <w:tc>
          <w:tcPr>
            <w:tcW w:type="dxa" w:w="369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报工提交前未校验报工数量是否超过任务剩余计划量，可能造成累计量超计划</w:t>
            </w:r>
          </w:p>
        </w:tc>
        <w:tc>
          <w:tcPr>
            <w:tcW w:type="dxa" w:w="407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增加剩余数量边界校验；F018、Q002、Q036 等关联场景回归通过</w:t>
            </w:r>
          </w:p>
        </w:tc>
      </w:tr>
      <w:tr>
        <w:trPr>
          <w:cantSplit/>
        </w:trPr>
        <w:tc>
          <w:tcPr>
            <w:tcW w:type="dxa" w:w="166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BUG-002 提前完工</w:t>
            </w:r>
          </w:p>
        </w:tc>
        <w:tc>
          <w:tcPr>
            <w:tcW w:type="dxa" w:w="369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任务累计完成量未达到计划数量时仍可被标记为完工</w:t>
            </w:r>
          </w:p>
        </w:tc>
        <w:tc>
          <w:tcPr>
            <w:tcW w:type="dxa" w:w="407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增加完工条件校验；F019 及相关状态场景回归通过</w:t>
            </w:r>
          </w:p>
        </w:tc>
      </w:tr>
      <w:tr>
        <w:trPr>
          <w:cantSplit/>
        </w:trPr>
        <w:tc>
          <w:tcPr>
            <w:tcW w:type="dxa" w:w="166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BUG-003 质量门绕过</w:t>
            </w:r>
          </w:p>
        </w:tc>
        <w:tc>
          <w:tcPr>
            <w:tcW w:type="dxa" w:w="369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启用质量门的任务完工后未进入待质检状态</w:t>
            </w:r>
          </w:p>
        </w:tc>
        <w:tc>
          <w:tcPr>
            <w:tcW w:type="dxa" w:w="407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完工逻辑读取工艺路线质量门配置；F026 及关联质量场景回归通过</w:t>
            </w:r>
          </w:p>
        </w:tc>
      </w:tr>
    </w:tbl>
    <w:p>
      <w:pPr>
        <w:spacing w:after="20" w:before="0"/>
      </w:pPr>
    </w:p>
    <w:p>
      <w:pPr>
        <w:widowControl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上述 3 项高严重度缺陷均已修复。5 项关联用例 F018、F019、F026、Q002、Q036 复测通过；测试记录中的 FAIL 状态已依据实际修复回归更新为 PASS。</w:t>
      </w:r>
    </w:p>
    <w:p>
      <w:pPr>
        <w:pStyle w:val="Heading1"/>
      </w:pPr>
      <w:r>
        <w:t>五、阻塞项与计划退出条件评估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735"/>
        <w:gridCol w:w="936"/>
        <w:gridCol w:w="2037"/>
        <w:gridCol w:w="4724"/>
      </w:tblGrid>
      <w:tr>
        <w:trPr>
          <w:cantSplit/>
          <w:tblHeader w:val="true"/>
        </w:trPr>
        <w:tc>
          <w:tcPr>
            <w:tcW w:type="dxa" w:w="173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6"/>
              </w:rPr>
              <w:t>阻塞类别</w:t>
            </w:r>
          </w:p>
        </w:tc>
        <w:tc>
          <w:tcPr>
            <w:tcW w:type="dxa" w:w="93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6"/>
              </w:rPr>
              <w:t>用例数</w:t>
            </w:r>
          </w:p>
        </w:tc>
        <w:tc>
          <w:tcPr>
            <w:tcW w:type="dxa" w:w="203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6"/>
              </w:rPr>
              <w:t>代表项目</w:t>
            </w:r>
          </w:p>
        </w:tc>
        <w:tc>
          <w:tcPr>
            <w:tcW w:type="dxa" w:w="472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6"/>
              </w:rPr>
              <w:t>无法完成的条件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周期边界</w:t>
            </w:r>
          </w:p>
        </w:tc>
        <w:tc>
          <w:tcPr>
            <w:tcW w:type="dxa" w:w="93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1</w:t>
            </w:r>
          </w:p>
        </w:tc>
        <w:tc>
          <w:tcPr>
            <w:tcW w:type="dxa" w:w="203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F031</w:t>
            </w:r>
          </w:p>
        </w:tc>
        <w:tc>
          <w:tcPr>
            <w:tcW w:type="dxa" w:w="472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需要跨越至少 30 天的真实周期数据，单次实验无法替代观察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小程序与真机</w:t>
            </w:r>
          </w:p>
        </w:tc>
        <w:tc>
          <w:tcPr>
            <w:tcW w:type="dxa" w:w="93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3</w:t>
            </w:r>
          </w:p>
        </w:tc>
        <w:tc>
          <w:tcPr>
            <w:tcW w:type="dxa" w:w="203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F033、F034、Q008</w:t>
            </w:r>
          </w:p>
        </w:tc>
        <w:tc>
          <w:tcPr>
            <w:tcW w:type="dxa" w:w="472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需微信开发者工具/小程序客户端及 Android、iOS 真机配合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多工具协同</w:t>
            </w:r>
          </w:p>
        </w:tc>
        <w:tc>
          <w:tcPr>
            <w:tcW w:type="dxa" w:w="93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1</w:t>
            </w:r>
          </w:p>
        </w:tc>
        <w:tc>
          <w:tcPr>
            <w:tcW w:type="dxa" w:w="203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Q007</w:t>
            </w:r>
          </w:p>
        </w:tc>
        <w:tc>
          <w:tcPr>
            <w:tcW w:type="dxa" w:w="472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需在同一终端并行比较 MES 与其他实际办公应用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用户交互评价</w:t>
            </w:r>
          </w:p>
        </w:tc>
        <w:tc>
          <w:tcPr>
            <w:tcW w:type="dxa" w:w="93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7</w:t>
            </w:r>
          </w:p>
        </w:tc>
        <w:tc>
          <w:tcPr>
            <w:tcW w:type="dxa" w:w="203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Q009-Q011、Q013-Q016</w:t>
            </w:r>
          </w:p>
        </w:tc>
        <w:tc>
          <w:tcPr>
            <w:tcW w:type="dxa" w:w="472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需组织 10 名真实用户按任务操作并记录量表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长期可靠性</w:t>
            </w:r>
          </w:p>
        </w:tc>
        <w:tc>
          <w:tcPr>
            <w:tcW w:type="dxa" w:w="93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1</w:t>
            </w:r>
          </w:p>
        </w:tc>
        <w:tc>
          <w:tcPr>
            <w:tcW w:type="dxa" w:w="203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Q018</w:t>
            </w:r>
          </w:p>
        </w:tc>
        <w:tc>
          <w:tcPr>
            <w:tcW w:type="dxa" w:w="472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要求 22 个工作日、每日 8 小时的稳定性观察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操作审计记录</w:t>
            </w:r>
          </w:p>
        </w:tc>
        <w:tc>
          <w:tcPr>
            <w:tcW w:type="dxa" w:w="93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1</w:t>
            </w:r>
          </w:p>
        </w:tc>
        <w:tc>
          <w:tcPr>
            <w:tcW w:type="dxa" w:w="203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Q023</w:t>
            </w:r>
          </w:p>
        </w:tc>
        <w:tc>
          <w:tcPr>
            <w:tcW w:type="dxa" w:w="472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需部署操作日志/审计能力并取得对应记录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跨环境兼容</w:t>
            </w:r>
          </w:p>
        </w:tc>
        <w:tc>
          <w:tcPr>
            <w:tcW w:type="dxa" w:w="93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3</w:t>
            </w:r>
          </w:p>
        </w:tc>
        <w:tc>
          <w:tcPr>
            <w:tcW w:type="dxa" w:w="203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Q033-Q035</w:t>
            </w:r>
          </w:p>
        </w:tc>
        <w:tc>
          <w:tcPr>
            <w:tcW w:type="dxa" w:w="472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需独立环境、可迁移数据及新成员安装复现条件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合计</w:t>
            </w:r>
          </w:p>
        </w:tc>
        <w:tc>
          <w:tcPr>
            <w:tcW w:type="dxa" w:w="93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17</w:t>
            </w:r>
          </w:p>
        </w:tc>
        <w:tc>
          <w:tcPr>
            <w:tcW w:type="dxa" w:w="2037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</w:p>
        </w:tc>
        <w:tc>
          <w:tcPr>
            <w:tcW w:type="dxa" w:w="472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均已记录阻塞原因，尚未完成专项验证</w:t>
            </w:r>
          </w:p>
        </w:tc>
      </w:tr>
    </w:tbl>
    <w:p>
      <w:pPr>
        <w:spacing w:after="20" w:before="0"/>
      </w:pPr>
    </w:p>
    <w:p>
      <w:pPr>
        <w:pStyle w:val="Heading2"/>
      </w:pPr>
      <w:r>
        <w:t>5.1 原计划退出标准评估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716"/>
        <w:gridCol w:w="1509"/>
        <w:gridCol w:w="5206"/>
      </w:tblGrid>
      <w:tr>
        <w:trPr>
          <w:cantSplit/>
          <w:tblHeader w:val="true"/>
        </w:trPr>
        <w:tc>
          <w:tcPr>
            <w:tcW w:type="dxa" w:w="271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6"/>
              </w:rPr>
              <w:t>退出条件</w:t>
            </w:r>
          </w:p>
        </w:tc>
        <w:tc>
          <w:tcPr>
            <w:tcW w:type="dxa" w:w="1509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6"/>
              </w:rPr>
              <w:t>结果</w:t>
            </w:r>
          </w:p>
        </w:tc>
        <w:tc>
          <w:tcPr>
            <w:tcW w:type="dxa" w:w="520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6"/>
              </w:rPr>
              <w:t>说明</w:t>
            </w:r>
          </w:p>
        </w:tc>
      </w:tr>
      <w:tr>
        <w:trPr>
          <w:cantSplit/>
        </w:trPr>
        <w:tc>
          <w:tcPr>
            <w:tcW w:type="dxa" w:w="271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高优先级用例全部执行且通过</w:t>
            </w:r>
          </w:p>
        </w:tc>
        <w:tc>
          <w:tcPr>
            <w:tcW w:type="dxa" w:w="1509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未满足</w:t>
            </w:r>
          </w:p>
        </w:tc>
        <w:tc>
          <w:tcPr>
            <w:tcW w:type="dxa" w:w="520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49 项中 46 项 PASS、3 项 BLOCKED</w:t>
            </w:r>
          </w:p>
        </w:tc>
      </w:tr>
      <w:tr>
        <w:trPr>
          <w:cantSplit/>
        </w:trPr>
        <w:tc>
          <w:tcPr>
            <w:tcW w:type="dxa" w:w="271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计划用例执行完成率 100%</w:t>
            </w:r>
          </w:p>
        </w:tc>
        <w:tc>
          <w:tcPr>
            <w:tcW w:type="dxa" w:w="1509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未满足</w:t>
            </w:r>
          </w:p>
        </w:tc>
        <w:tc>
          <w:tcPr>
            <w:tcW w:type="dxa" w:w="520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59/76 = 77.6%；17 项 BLOCKED 不计为完成</w:t>
            </w:r>
          </w:p>
        </w:tc>
      </w:tr>
      <w:tr>
        <w:trPr>
          <w:cantSplit/>
        </w:trPr>
        <w:tc>
          <w:tcPr>
            <w:tcW w:type="dxa" w:w="271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总体通过率不低于 95%</w:t>
            </w:r>
          </w:p>
        </w:tc>
        <w:tc>
          <w:tcPr>
            <w:tcW w:type="dxa" w:w="1509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未满足</w:t>
            </w:r>
          </w:p>
        </w:tc>
        <w:tc>
          <w:tcPr>
            <w:tcW w:type="dxa" w:w="520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按计划总数计算为 59/76 = 77.6%</w:t>
            </w:r>
          </w:p>
        </w:tc>
      </w:tr>
      <w:tr>
        <w:trPr>
          <w:cantSplit/>
        </w:trPr>
        <w:tc>
          <w:tcPr>
            <w:tcW w:type="dxa" w:w="271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严重/致命缺陷为 0</w:t>
            </w:r>
          </w:p>
        </w:tc>
        <w:tc>
          <w:tcPr>
            <w:tcW w:type="dxa" w:w="1509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满足（修复后）</w:t>
            </w:r>
          </w:p>
        </w:tc>
        <w:tc>
          <w:tcPr>
            <w:tcW w:type="dxa" w:w="520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BUG-001 至 BUG-003 已修复，关联回归通过</w:t>
            </w:r>
          </w:p>
        </w:tc>
      </w:tr>
      <w:tr>
        <w:trPr>
          <w:cantSplit/>
        </w:trPr>
        <w:tc>
          <w:tcPr>
            <w:tcW w:type="dxa" w:w="271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剩余问题完成影响评估与处置</w:t>
            </w:r>
          </w:p>
        </w:tc>
        <w:tc>
          <w:tcPr>
            <w:tcW w:type="dxa" w:w="1509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部分满足</w:t>
            </w:r>
          </w:p>
        </w:tc>
        <w:tc>
          <w:tcPr>
            <w:tcW w:type="dxa" w:w="520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阻塞原因已记录，未留存正式评审签字或会议纪要</w:t>
            </w:r>
          </w:p>
        </w:tc>
      </w:tr>
      <w:tr>
        <w:trPr>
          <w:cantSplit/>
        </w:trPr>
        <w:tc>
          <w:tcPr>
            <w:tcW w:type="dxa" w:w="271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整体退出结论</w:t>
            </w:r>
          </w:p>
        </w:tc>
        <w:tc>
          <w:tcPr>
            <w:tcW w:type="dxa" w:w="1509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未通过</w:t>
            </w:r>
          </w:p>
        </w:tc>
        <w:tc>
          <w:tcPr>
            <w:tcW w:type="dxa" w:w="520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6"/>
              </w:rPr>
              <w:t>执行完成率、通过率和高优先级全通过条件未满足</w:t>
            </w:r>
          </w:p>
        </w:tc>
      </w:tr>
    </w:tbl>
    <w:p>
      <w:pPr>
        <w:spacing w:after="20" w:before="0"/>
      </w:pPr>
    </w:p>
    <w:p>
      <w:pPr>
        <w:pStyle w:val="Heading1"/>
      </w:pPr>
      <w:r>
        <w:t>六、结论与后续工作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本轮已完成 TestLink 需求、用例、计划及构建配置，并在隔离 MES 环境执行了部分功能和质量专项测试。52 项需求均建立用例关联；59 项已完成用例全部通过，3 项高严重度缺陷已修复并完成关联回归。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系统测试整体退出准则未通过。76 项用例中仍有 17 项 BLOCKED，执行完成率和按计划用例数计算的总体通过率均为 77.6%，高优先级用例中仍有 3 项阻塞。因此本报告不将本轮结果表述为 Keyboard MES 整体测试通过。</w:t>
      </w:r>
    </w:p>
    <w:p>
      <w:pPr>
        <w:ind w:left="312" w:hanging="198"/>
      </w:pPr>
      <w:r>
        <w:rPr>
          <w:rFonts w:ascii="Times New Roman" w:hAnsi="Times New Roman" w:eastAsia="微软雅黑" w:cs="Times New Roman"/>
          <w:b w:val="0"/>
          <w:color w:val="243447"/>
          <w:sz w:val="20"/>
        </w:rPr>
        <w:t>• 准备真人用户、微信小程序客户端、Android/iOS 真机、长期观察周期和独立兼容环境，逐项补测 17 项阻塞用例。</w:t>
      </w:r>
    </w:p>
    <w:p>
      <w:pPr>
        <w:ind w:left="312" w:hanging="198"/>
      </w:pPr>
      <w:r>
        <w:rPr>
          <w:rFonts w:ascii="Times New Roman" w:hAnsi="Times New Roman" w:eastAsia="微软雅黑" w:cs="Times New Roman"/>
          <w:b w:val="0"/>
          <w:color w:val="243447"/>
          <w:sz w:val="20"/>
        </w:rPr>
        <w:t>• 复测时补录 MES 代码提交号、工作区变更、浏览器/设备、数据基线及实际执行人员，形成可复现的构建记录。</w:t>
      </w:r>
    </w:p>
    <w:p>
      <w:pPr>
        <w:ind w:left="312" w:hanging="198"/>
      </w:pPr>
      <w:r>
        <w:rPr>
          <w:rFonts w:ascii="Times New Roman" w:hAnsi="Times New Roman" w:eastAsia="微软雅黑" w:cs="Times New Roman"/>
          <w:b w:val="0"/>
          <w:color w:val="243447"/>
          <w:sz w:val="20"/>
        </w:rPr>
        <w:t>• 对 Q006 容量记录作专项复核：TestLink 状态记录为 PASS，但执行日志同时记录成功率 86% 且受 Windows 客户端 TIME_WAIT 资源影响；应在独立发压端复测后再形成容量结论。</w:t>
      </w:r>
    </w:p>
    <w:p>
      <w:pPr>
        <w:ind w:left="312" w:hanging="198"/>
      </w:pPr>
      <w:r>
        <w:rPr>
          <w:rFonts w:ascii="Times New Roman" w:hAnsi="Times New Roman" w:eastAsia="微软雅黑" w:cs="Times New Roman"/>
          <w:b w:val="0"/>
          <w:color w:val="243447"/>
          <w:sz w:val="20"/>
        </w:rPr>
        <w:t>• 正式评审记录或签字如为课程提交要求，应由小组按真实情况补充，不以本报告代替审批记录。</w:t>
      </w:r>
    </w:p>
    <w:sectPr w:rsidR="00FC693F" w:rsidRPr="0006063C" w:rsidSect="00034616">
      <w:footerReference w:type="default" r:id="rId9"/>
      <w:pgSz w:w="11906" w:h="16838"/>
      <w:pgMar w:top="1077" w:right="1134" w:bottom="1020" w:left="1134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微软雅黑" w:cs="Times New Roman"/>
        <w:color w:val="667085"/>
        <w:sz w:val="18"/>
      </w:rPr>
      <w:t xml:space="preserve">软件测试与质量保证　·　实验2　　|　　第 </w:t>
    </w:r>
    <w:r>
      <w:rPr>
        <w:rFonts w:ascii="Times New Roman" w:hAnsi="Times New Roman" w:eastAsia="微软雅黑" w:cs="Times New Roman"/>
        <w:color w:val="667085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微软雅黑" w:cs="Times New Roman"/>
        <w:color w:val="667085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Times New Roman" w:hAnsi="Times New Roman" w:eastAsia="微软雅黑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24344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微软雅黑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Keyboard MES 系统测试报告</dc:title>
  <dc:subject>系统测试报告</dc:subject>
  <dc:creator>第22组</dc:creator>
  <cp:keywords>软件测试与质量保证; 实验2; Keyboard MES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