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实验3 键盘MES后端单元测试实验报告</w:t>
      </w:r>
    </w:p>
    <w:p>
      <w:pPr>
        <w:spacing w:after="220"/>
        <w:jc w:val="center"/>
      </w:pPr>
      <w:r>
        <w:t>课程：软件测试与质量保证    测试对象：Keyboard MES 后端</w:t>
        <w:br/>
      </w:r>
      <w:r>
        <w:t>执行日期：2026年9月29日</w:t>
      </w:r>
    </w:p>
    <w:p>
      <w:pPr>
        <w:pStyle w:val="Heading1"/>
      </w:pPr>
      <w:r>
        <w:t>1 实验目标与范围</w:t>
      </w:r>
    </w:p>
    <w:p>
      <w:r>
        <w:t>课程上机安排要求使用 JUnit 设计单元测试，对调用关系较复杂的程序单元结合 Mockito 测试，设计满足语句覆盖、分支覆盖和基本路径覆盖的用例，并使用 JaCoCo 统计覆盖率。本实验以 program/code/backend 中的 Spring Boot 后端为对象，重点检查工单生成、任务状态、报工、质检、返修复检和 SN 追溯服务。实验1的 MA-05 质量需求提出核心服务语句覆盖率不低于85%、分支覆盖率不低于80%，作为本次补测的目标。</w:t>
      </w:r>
    </w:p>
    <w:p>
      <w:r>
        <w:t>本次测试基于 Git 提交 e7a4522 加当前未提交的业务修复、JaCoCo 配置和测试源码。测试运行使用 Mockito 模拟 Mapper 等依赖，不依赖正在运行的 MySQL、Redis 或前后端服务。</w:t>
      </w:r>
    </w:p>
    <w:p>
      <w:pPr>
        <w:pStyle w:val="Heading1"/>
      </w:pPr>
      <w:r>
        <w:t>2 测试环境与方法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4649"/>
        <w:gridCol w:w="4649"/>
      </w:tblGrid>
      <w:tr>
        <w:trPr>
          <w:cantSplit/>
          <w:tblHeader/>
        </w:trPr>
        <w:tc>
          <w:tcPr>
            <w:tcW w:type="dxa" w:w="2665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项目</w:t>
            </w:r>
          </w:p>
        </w:tc>
        <w:tc>
          <w:tcPr>
            <w:tcW w:type="dxa" w:w="6633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本次配置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Java 与构建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JDK 17；Maven 3.9.9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测试框架</w:t>
            </w:r>
          </w:p>
        </w:tc>
        <w:tc>
          <w:tcPr>
            <w:tcW w:type="dxa" w:w="6633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spring-boot-starter-test 提供的 JUnit 5、Mockito 与 AssertJ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覆盖率工具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JaCoCo Maven 插件 0.8.12；Surefire 执行测试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执行方式</w:t>
            </w:r>
          </w:p>
        </w:tc>
        <w:tc>
          <w:tcPr>
            <w:tcW w:type="dxa" w:w="6633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在 program/code/backend 执行 mvn -o test，依赖已缓存在本机 Maven 仓库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覆盖率报告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backend/target/site/jacoco/index.html、jacoco.csv、jacoco.xml</w:t>
            </w:r>
          </w:p>
        </w:tc>
      </w:tr>
    </w:tbl>
    <w:p>
      <w:pPr>
        <w:spacing w:after="20"/>
      </w:pPr>
    </w:p>
    <w:p>
      <w:r>
        <w:t>JaCoCo 执行数据写入系统临时目录的 jacoco-mes.exec。插件设置 append=false，使每次测试执行使用新数据，避免历史会话抬高覆盖率。下文统计取自本次单一测试会话生成的 Surefire XML 和 JaCoCo CSV。JaCoCo 提供代码行、分支和字节码指令覆盖率，没有直接名为“语句覆盖率”的指标；本报告用代码行覆盖率作为源代码语句覆盖的近似口径，并同时保留原始 CSV 供核查。同一源代码行若包含多条语句，这两个概念并不完全等同。</w:t>
      </w:r>
    </w:p>
    <w:p>
      <w:r>
        <w:t>测试采用输入与预期结果断言，以及 Mockito 的依赖返回值和调用验证。业务用例覆盖正常操作、边界值、非法输入、依赖写入失败和关键状态转换。Controller 测试中的模拟 Service 不计入 Service 覆盖率。</w:t>
      </w:r>
    </w:p>
    <w:p>
      <w:pPr>
        <w:pStyle w:val="Heading1"/>
      </w:pPr>
      <w:r>
        <w:t>3 白盒测试设计</w:t>
      </w:r>
    </w:p>
    <w:p>
      <w:pPr>
        <w:pStyle w:val="Heading2"/>
      </w:pPr>
      <w:r>
        <w:t>3.1 基本路径分析</w:t>
      </w:r>
    </w:p>
    <w:p>
      <w:r>
        <w:t>选取 WorkReportServiceImpl.validateReportQuantity 作为基本路径分析对象，通过 submit 调用该方法。设任务计划数为10、已完成数为4，则剩余可报工数为6。校验顺序依次为：D1 报工数不大于0；D2 合格数小于0；D3 不良数小于0；D4 合格数与不良数之和不等于报工数；D5 报工数大于剩余数。任一判断成立即拒绝，全部为假则接受。将短路表达式中的 D2、D3 分开计算后，5 个独立判断形成 6 条基本路径，环路复杂度 V(G)=6。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860"/>
        <w:gridCol w:w="1860"/>
        <w:gridCol w:w="1860"/>
        <w:gridCol w:w="1860"/>
        <w:gridCol w:w="1860"/>
      </w:tblGrid>
      <w:tr>
        <w:trPr>
          <w:cantSplit/>
          <w:tblHeader/>
        </w:trPr>
        <w:tc>
          <w:tcPr>
            <w:tcW w:type="dxa" w:w="567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路径</w:t>
            </w:r>
          </w:p>
        </w:tc>
        <w:tc>
          <w:tcPr>
            <w:tcW w:type="dxa" w:w="1984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报工数 / 合格数 / 不良数</w:t>
            </w:r>
          </w:p>
        </w:tc>
        <w:tc>
          <w:tcPr>
            <w:tcW w:type="dxa" w:w="1417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首个成立判断</w:t>
            </w:r>
          </w:p>
        </w:tc>
        <w:tc>
          <w:tcPr>
            <w:tcW w:type="dxa" w:w="2268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预期结果</w:t>
            </w:r>
          </w:p>
        </w:tc>
        <w:tc>
          <w:tcPr>
            <w:tcW w:type="dxa" w:w="3061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对应用例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P1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0 / 0 / 0</w:t>
            </w:r>
          </w:p>
        </w:tc>
        <w:tc>
          <w:tcPr>
            <w:tcW w:type="dxa" w:w="1417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D1</w:t>
            </w:r>
          </w:p>
        </w:tc>
        <w:tc>
          <w:tcPr>
            <w:tcW w:type="dxa" w:w="2268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拒绝非正报工数</w:t>
            </w:r>
          </w:p>
        </w:tc>
        <w:tc>
          <w:tcPr>
            <w:tcW w:type="dxa" w:w="3061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微软雅黑"/>
                <w:sz w:val="17"/>
              </w:rPr>
              <w:t>数量校验测试第1组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P2</w:t>
            </w:r>
          </w:p>
        </w:tc>
        <w:tc>
          <w:tcPr>
            <w:tcW w:type="dxa" w:w="1984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2 / -1 / 3</w:t>
            </w:r>
          </w:p>
        </w:tc>
        <w:tc>
          <w:tcPr>
            <w:tcW w:type="dxa" w:w="1417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D2</w:t>
            </w:r>
          </w:p>
        </w:tc>
        <w:tc>
          <w:tcPr>
            <w:tcW w:type="dxa" w:w="2268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拒绝负合格数</w:t>
            </w:r>
          </w:p>
        </w:tc>
        <w:tc>
          <w:tcPr>
            <w:tcW w:type="dxa" w:w="3061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同上第2组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P3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2 / 3 / -1</w:t>
            </w:r>
          </w:p>
        </w:tc>
        <w:tc>
          <w:tcPr>
            <w:tcW w:type="dxa" w:w="1417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D3</w:t>
            </w:r>
          </w:p>
        </w:tc>
        <w:tc>
          <w:tcPr>
            <w:tcW w:type="dxa" w:w="2268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拒绝负不良数</w:t>
            </w:r>
          </w:p>
        </w:tc>
        <w:tc>
          <w:tcPr>
            <w:tcW w:type="dxa" w:w="3061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同上第3组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P4</w:t>
            </w:r>
          </w:p>
        </w:tc>
        <w:tc>
          <w:tcPr>
            <w:tcW w:type="dxa" w:w="1984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2 / 1 / 0</w:t>
            </w:r>
          </w:p>
        </w:tc>
        <w:tc>
          <w:tcPr>
            <w:tcW w:type="dxa" w:w="1417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D4</w:t>
            </w:r>
          </w:p>
        </w:tc>
        <w:tc>
          <w:tcPr>
            <w:tcW w:type="dxa" w:w="2268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拒绝数量不守恒</w:t>
            </w:r>
          </w:p>
        </w:tc>
        <w:tc>
          <w:tcPr>
            <w:tcW w:type="dxa" w:w="3061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同上第4组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P5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7 / 7 / 0</w:t>
            </w:r>
          </w:p>
        </w:tc>
        <w:tc>
          <w:tcPr>
            <w:tcW w:type="dxa" w:w="1417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D5</w:t>
            </w:r>
          </w:p>
        </w:tc>
        <w:tc>
          <w:tcPr>
            <w:tcW w:type="dxa" w:w="2268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拒绝超过剩余数6</w:t>
            </w:r>
          </w:p>
        </w:tc>
        <w:tc>
          <w:tcPr>
            <w:tcW w:type="dxa" w:w="3061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同上第5组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P6</w:t>
            </w:r>
          </w:p>
        </w:tc>
        <w:tc>
          <w:tcPr>
            <w:tcW w:type="dxa" w:w="1984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6 / 5 / 1</w:t>
            </w:r>
          </w:p>
        </w:tc>
        <w:tc>
          <w:tcPr>
            <w:tcW w:type="dxa" w:w="1417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无</w:t>
            </w:r>
          </w:p>
        </w:tc>
        <w:tc>
          <w:tcPr>
            <w:tcW w:type="dxa" w:w="2268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接受报工，累计完成数变为10</w:t>
            </w:r>
          </w:p>
        </w:tc>
        <w:tc>
          <w:tcPr>
            <w:tcW w:type="dxa" w:w="3061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微软雅黑"/>
                <w:sz w:val="17"/>
              </w:rPr>
              <w:t>合法报工测试</w:t>
            </w:r>
          </w:p>
        </w:tc>
      </w:tr>
    </w:tbl>
    <w:p>
      <w:pPr>
        <w:spacing w:after="20"/>
      </w:pPr>
    </w:p>
    <w:p>
      <w:r>
        <w:t>P1 至 P5 均由 submitShouldRejectQuantityBoundaryAndConservationViolations 的对应输入组执行，各触发一条前述路径未经过的拒绝边；P6 由 submitExactRemainingWithoutQualityGateShouldCompleteTaskAndOrder 执行，穿过全部校验并进入保存和状态更新。上述六组输入均有业务结果断言，拒绝路径还验证报工记录未写入。任务完工、质检和返修复检另以状态转换及异常用例检查关键分支。</w:t>
      </w:r>
    </w:p>
    <w:p>
      <w:pPr>
        <w:pStyle w:val="Heading2"/>
      </w:pPr>
      <w:r>
        <w:t>3.2 核心业务用例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4649"/>
        <w:gridCol w:w="4649"/>
      </w:tblGrid>
      <w:tr>
        <w:trPr>
          <w:cantSplit/>
          <w:tblHeader/>
        </w:trPr>
        <w:tc>
          <w:tcPr>
            <w:tcW w:type="dxa" w:w="2665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对象</w:t>
            </w:r>
          </w:p>
        </w:tc>
        <w:tc>
          <w:tcPr>
            <w:tcW w:type="dxa" w:w="6633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本次检查的关键行为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工单与任务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启用路线生成任务、重复生成保护、任务未达计划拒绝完工、质量门进入待质检、缺失路线处理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报工</w:t>
            </w:r>
          </w:p>
        </w:tc>
        <w:tc>
          <w:tcPr>
            <w:tcW w:type="dxa" w:w="6633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数量守恒、非负与剩余量边界、正常完工、普通工序与质量门工序的状态差异、写入失败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质检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合格完工、不合格生成返修单、处置方式触发返修、关联工单不匹配及写入失败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返修复检</w:t>
            </w:r>
          </w:p>
        </w:tc>
        <w:tc>
          <w:tcPr>
            <w:tcW w:type="dxa" w:w="6633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sz w:val="17"/>
              </w:rPr>
              <w:t>维修后待复检、复检成功关闭、复检失败返回维修、关联记录缺失及更新失败</w:t>
            </w:r>
          </w:p>
        </w:tc>
      </w:tr>
    </w:tbl>
    <w:p>
      <w:pPr>
        <w:spacing w:after="20"/>
      </w:pPr>
    </w:p>
    <w:p>
      <w:pPr>
        <w:pStyle w:val="Heading1"/>
      </w:pPr>
      <w:r>
        <w:t>4 执行结果与覆盖率</w:t>
      </w:r>
    </w:p>
    <w:p>
      <w:r>
        <w:t>本次共运行19个测试类、96项测试：服务层71项，Controller层20项，其他5项。96项通过，失败、错误和跳过均为0。相比原有73项，新增23项测试，集中在工单、任务、报工、质检和返修服务。全部测试在现有后端工程中执行，未启动完整 MES 服务。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324"/>
        <w:gridCol w:w="2324"/>
        <w:gridCol w:w="2324"/>
        <w:gridCol w:w="2324"/>
      </w:tblGrid>
      <w:tr>
        <w:trPr>
          <w:cantSplit/>
          <w:tblHeader/>
        </w:trPr>
        <w:tc>
          <w:tcPr>
            <w:tcW w:type="dxa" w:w="2551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核心服务</w:t>
            </w:r>
          </w:p>
        </w:tc>
        <w:tc>
          <w:tcPr>
            <w:tcW w:type="dxa" w:w="2324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代码行覆盖</w:t>
            </w:r>
          </w:p>
        </w:tc>
        <w:tc>
          <w:tcPr>
            <w:tcW w:type="dxa" w:w="2324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分支覆盖</w:t>
            </w:r>
          </w:p>
        </w:tc>
        <w:tc>
          <w:tcPr>
            <w:tcW w:type="dxa" w:w="2098"/>
            <w:vAlign w:val="center"/>
            <w:shd w:fill="DDE8F2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</w:pPr>
            <w:r>
              <w:rPr>
                <w:rFonts w:ascii="Times New Roman" w:hAnsi="Times New Roman" w:eastAsia="微软雅黑"/>
                <w:b/>
                <w:sz w:val="17"/>
              </w:rPr>
              <w:t>MA-05目标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ProductionOrderServiceImpl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56/56，100.0%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24/24，100.0%</w:t>
            </w:r>
          </w:p>
        </w:tc>
        <w:tc>
          <w:tcPr>
            <w:tcW w:type="dxa" w:w="2098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达到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ProductionTaskServiceImpl</w:t>
            </w:r>
          </w:p>
        </w:tc>
        <w:tc>
          <w:tcPr>
            <w:tcW w:type="dxa" w:w="2324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52/52，100.0%</w:t>
            </w:r>
          </w:p>
        </w:tc>
        <w:tc>
          <w:tcPr>
            <w:tcW w:type="dxa" w:w="2324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30/32，93.8%</w:t>
            </w:r>
          </w:p>
        </w:tc>
        <w:tc>
          <w:tcPr>
            <w:tcW w:type="dxa" w:w="2098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达到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WorkReportServiceImpl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113/115，98.3%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65/72，90.3%</w:t>
            </w:r>
          </w:p>
        </w:tc>
        <w:tc>
          <w:tcPr>
            <w:tcW w:type="dxa" w:w="2098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达到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InspectionRecordServiceImpl</w:t>
            </w:r>
          </w:p>
        </w:tc>
        <w:tc>
          <w:tcPr>
            <w:tcW w:type="dxa" w:w="2324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98/98，100.0%</w:t>
            </w:r>
          </w:p>
        </w:tc>
        <w:tc>
          <w:tcPr>
            <w:tcW w:type="dxa" w:w="2324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58/62，93.5%</w:t>
            </w:r>
          </w:p>
        </w:tc>
        <w:tc>
          <w:tcPr>
            <w:tcW w:type="dxa" w:w="2098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达到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ReworkOrderServiceImpl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86/87，98.9%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44/50，88.0%</w:t>
            </w:r>
          </w:p>
        </w:tc>
        <w:tc>
          <w:tcPr>
            <w:tcW w:type="dxa" w:w="2098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达到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TraceServiceImpl</w:t>
            </w:r>
          </w:p>
        </w:tc>
        <w:tc>
          <w:tcPr>
            <w:tcW w:type="dxa" w:w="2324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55/55，100.0%</w:t>
            </w:r>
          </w:p>
        </w:tc>
        <w:tc>
          <w:tcPr>
            <w:tcW w:type="dxa" w:w="2324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14/16，87.5%</w:t>
            </w:r>
          </w:p>
        </w:tc>
        <w:tc>
          <w:tcPr>
            <w:tcW w:type="dxa" w:w="2098"/>
            <w:vAlign w:val="center"/>
            <w:shd w:fill="F6F9FC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达到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六类合计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460/463，99.4%</w:t>
            </w:r>
          </w:p>
        </w:tc>
        <w:tc>
          <w:tcPr>
            <w:tcW w:type="dxa" w:w="2324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235/256，91.8%</w:t>
            </w:r>
          </w:p>
        </w:tc>
        <w:tc>
          <w:tcPr>
            <w:tcW w:type="dxa" w:w="2098"/>
            <w:vAlign w:val="center"/>
            <w:shd w:fill="FFFFFF"/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after="0" w:line="271" w:lineRule="auto"/>
              <w:jc w:val="center"/>
            </w:pPr>
            <w:r>
              <w:rPr>
                <w:rFonts w:ascii="Times New Roman" w:hAnsi="Times New Roman" w:eastAsia="微软雅黑"/>
                <w:sz w:val="17"/>
              </w:rPr>
              <w:t>达到</w:t>
            </w:r>
          </w:p>
        </w:tc>
      </w:tr>
    </w:tbl>
    <w:p>
      <w:pPr>
        <w:spacing w:after="20"/>
      </w:pPr>
    </w:p>
    <w:p>
      <w:r>
        <w:t>表中“六类合计”按覆盖数与总数汇总计算，分母仅包含上述六个核心服务。JaCoCo 原始类级数据见同目录《JaCoCo覆盖率明细.csv》，19个测试类的执行统计见《测试执行明细.csv》。</w:t>
      </w:r>
    </w:p>
    <w:p>
      <w:pPr>
        <w:pStyle w:val="Heading1"/>
      </w:pPr>
      <w:r>
        <w:t>5 结论与范围限制</w:t>
      </w:r>
    </w:p>
    <w:p>
      <w:r>
        <w:t>JUnit、Mockito 和 JaCoCo 的实验流程已完成，六个核心服务按本报告约定的代码行与分支口径均达到 MA-05 目标，选定校验方法的六条独立基本路径均有对应输入与结果断言。本轮未发现新的测试失败。</w:t>
      </w:r>
    </w:p>
    <w:p>
      <w:r>
        <w:t>覆盖率结论限于本次运行的后端代码及六个核心服务。ReportServiceImpl 的代码行覆盖率为164/361（45.4%）、分支覆盖率为56/154（36.4%）；ProductBomServiceImpl、ProcessRouteServiceImpl 和 SysUserServiceImpl 仍无单元测试覆盖。这些类不计入上表六类合计。当前源码和测试尚有未提交改动，提交或复现实验前需以同一代码状态重新运行测试。</w:t>
      </w:r>
    </w:p>
    <w:sectPr w:rsidR="00FC693F" w:rsidRPr="0006063C" w:rsidSect="00034616">
      <w:pgSz w:w="11906" w:h="16838"/>
      <w:pgMar w:top="1191" w:right="1304" w:bottom="107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Times New Roman" w:hAnsi="Times New Roman" w:eastAsia="微软雅黑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微软雅黑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实验3 键盘MES后端单元测试实验报告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