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INDUSTRIAL VISION INTELLIGENCE</w:t>
      </w:r>
    </w:p>
    <w:p>
      <w:pPr>
        <w:pStyle w:val="Title"/>
        <w:spacing w:before="1520" w:after="200"/>
      </w:pPr>
      <w:r>
        <w:rPr>
          <w:rFonts w:ascii="Microsoft YaHei" w:hAnsi="Microsoft YaHei" w:eastAsia="Microsoft YaHei"/>
          <w:b/>
          <w:sz w:val="48"/>
        </w:rPr>
        <w:t>Vision Platform</w:t>
        <w:br/>
        <w:t>运行与接口操作 SOP</w:t>
      </w:r>
    </w:p>
    <w:p>
      <w:pPr>
        <w:spacing w:after="480"/>
      </w:pPr>
      <w:r>
        <w:rPr>
          <w:rFonts w:ascii="Microsoft YaHei" w:hAnsi="Microsoft YaHei" w:eastAsia="Microsoft YaHei"/>
          <w:color w:val="0F766E"/>
          <w:sz w:val="24"/>
        </w:rPr>
        <w:t>模型服务启动 · 健康检查 · 配方检测 · API 联调 · 故障排查</w:t>
      </w:r>
    </w:p>
    <w:p>
      <w:pPr>
        <w:spacing w:after="520"/>
        <w:pBdr>
          <w:bottom w:val="single" w:sz="18" w:space="1" w:color="0F766E"/>
        </w:pBdr>
      </w:pPr>
    </w:p>
    <w:p>
      <w:pPr>
        <w:spacing w:after="100"/>
      </w:pPr>
      <w:r>
        <w:rPr>
          <w:rFonts w:ascii="Microsoft YaHei" w:hAnsi="Microsoft YaHei" w:eastAsia="Microsoft YaHei"/>
          <w:b/>
          <w:color w:val="17365D"/>
          <w:sz w:val="18"/>
        </w:rPr>
        <w:t xml:space="preserve">文档版本  </w:t>
      </w:r>
      <w:r>
        <w:rPr>
          <w:rFonts w:ascii="Microsoft YaHei" w:hAnsi="Microsoft YaHei" w:eastAsia="Microsoft YaHei"/>
          <w:sz w:val="18"/>
        </w:rPr>
        <w:t>V1.0</w:t>
      </w:r>
    </w:p>
    <w:p>
      <w:pPr>
        <w:spacing w:after="100"/>
      </w:pPr>
      <w:r>
        <w:rPr>
          <w:rFonts w:ascii="Microsoft YaHei" w:hAnsi="Microsoft YaHei" w:eastAsia="Microsoft YaHei"/>
          <w:b/>
          <w:color w:val="17365D"/>
          <w:sz w:val="18"/>
        </w:rPr>
        <w:t xml:space="preserve">适用项目  </w:t>
      </w:r>
      <w:r>
        <w:rPr>
          <w:rFonts w:ascii="Microsoft YaHei" w:hAnsi="Microsoft YaHei" w:eastAsia="Microsoft YaHei"/>
          <w:sz w:val="18"/>
        </w:rPr>
        <w:t>vision-platform</w:t>
      </w:r>
    </w:p>
    <w:p>
      <w:pPr>
        <w:spacing w:after="100"/>
      </w:pPr>
      <w:r>
        <w:rPr>
          <w:rFonts w:ascii="Microsoft YaHei" w:hAnsi="Microsoft YaHei" w:eastAsia="Microsoft YaHei"/>
          <w:b/>
          <w:color w:val="17365D"/>
          <w:sz w:val="18"/>
        </w:rPr>
        <w:t xml:space="preserve">适用环境  </w:t>
      </w:r>
      <w:r>
        <w:rPr>
          <w:rFonts w:ascii="Microsoft YaHei" w:hAnsi="Microsoft YaHei" w:eastAsia="Microsoft YaHei"/>
          <w:sz w:val="18"/>
        </w:rPr>
        <w:t>Windows 本地部署 / NVIDIA GPU</w:t>
      </w:r>
    </w:p>
    <w:p>
      <w:pPr>
        <w:spacing w:after="100"/>
      </w:pPr>
      <w:r>
        <w:rPr>
          <w:rFonts w:ascii="Microsoft YaHei" w:hAnsi="Microsoft YaHei" w:eastAsia="Microsoft YaHei"/>
          <w:b/>
          <w:color w:val="17365D"/>
          <w:sz w:val="18"/>
        </w:rPr>
        <w:t xml:space="preserve">平台地址  </w:t>
      </w:r>
      <w:r>
        <w:rPr>
          <w:rFonts w:ascii="Microsoft YaHei" w:hAnsi="Microsoft YaHei" w:eastAsia="Microsoft YaHei"/>
          <w:sz w:val="18"/>
        </w:rPr>
        <w:t>http://127.0.0.1:9011/workspace</w:t>
      </w:r>
    </w:p>
    <w:p>
      <w:pPr>
        <w:spacing w:after="100"/>
      </w:pPr>
      <w:r>
        <w:rPr>
          <w:rFonts w:ascii="Microsoft YaHei" w:hAnsi="Microsoft YaHei" w:eastAsia="Microsoft YaHei"/>
          <w:b/>
          <w:color w:val="17365D"/>
          <w:sz w:val="18"/>
        </w:rPr>
        <w:t xml:space="preserve">编制日期  </w:t>
      </w:r>
      <w:r>
        <w:rPr>
          <w:rFonts w:ascii="Microsoft YaHei" w:hAnsi="Microsoft YaHei" w:eastAsia="Microsoft YaHei"/>
          <w:sz w:val="18"/>
        </w:rPr>
        <w:t>2026-08-02</w:t>
      </w:r>
    </w:p>
    <w:p>
      <w:pPr>
        <w:spacing w:after="800"/>
      </w:pPr>
    </w:p>
    <w:p>
      <w:pPr>
        <w:spacing w:before="80" w:after="140"/>
        <w:ind w:left="198"/>
        <w:shd w:fill="EAF2F8"/>
        <w:pBdr>
          <w:left w:val="single" w:sz="24" w:space="6" w:color="17365D"/>
        </w:pBdr>
      </w:pPr>
      <w:r>
        <w:rPr>
          <w:rFonts w:ascii="Microsoft YaHei" w:hAnsi="Microsoft YaHei" w:eastAsia="Microsoft YaHei"/>
          <w:b/>
          <w:color w:val="17365D"/>
          <w:sz w:val="18"/>
        </w:rPr>
        <w:t xml:space="preserve">使用原则  </w:t>
      </w:r>
      <w:r>
        <w:rPr>
          <w:rFonts w:ascii="Microsoft YaHei" w:hAnsi="Microsoft YaHei" w:eastAsia="Microsoft YaHei"/>
          <w:sz w:val="18"/>
        </w:rPr>
        <w:t>本 SOP 按现场平台端口 9011 编写。模型服务采用单进程常驻方式，启动后必须确认状态为 READY，再执行配方测试或生产检测。</w:t>
      </w:r>
    </w:p>
    <w:p>
      <w:r>
        <w:br w:type="page"/>
      </w:r>
    </w:p>
    <w:p>
      <w:pPr>
        <w:pStyle w:val="Heading1"/>
        <w:keepNext/>
      </w:pPr>
      <w:r>
        <w:t>目录与快速索引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936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章节</w:t>
            </w:r>
          </w:p>
        </w:tc>
        <w:tc>
          <w:tcPr>
            <w:tcW w:type="dxa" w:w="6696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2592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适用人员</w:t>
            </w:r>
          </w:p>
        </w:tc>
      </w:tr>
      <w:tr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66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文档目的、系统边界与安全要求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操作员 / 工程师</w:t>
            </w:r>
          </w:p>
        </w:tc>
      </w:tr>
      <w:tr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6696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服务清单、端口与推荐启动顺序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运维 / 算法工程师</w:t>
            </w:r>
          </w:p>
        </w:tc>
      </w:tr>
      <w:tr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66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首次部署与环境检查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部署工程师</w:t>
            </w:r>
          </w:p>
        </w:tc>
      </w:tr>
      <w:tr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6696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日常启动、停止和状态检查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操作员 / 运维</w:t>
            </w:r>
          </w:p>
        </w:tc>
      </w:tr>
      <w:tr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66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配方与 ROI 规则配置流程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视觉工程师</w:t>
            </w:r>
          </w:p>
        </w:tc>
      </w:tr>
      <w:tr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6696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检测接口调用与返回说明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集成工程师</w:t>
            </w:r>
          </w:p>
        </w:tc>
      </w:tr>
      <w:tr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66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VLM 复核策略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工艺 / 视觉工程师</w:t>
            </w:r>
          </w:p>
        </w:tc>
      </w:tr>
      <w:tr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6696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日志与故障排查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运维 / 开发</w:t>
            </w:r>
          </w:p>
        </w:tc>
      </w:tr>
      <w:tr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66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日常检查表与变更管理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班组 / 项目负责人</w:t>
            </w:r>
          </w:p>
        </w:tc>
      </w:tr>
    </w:tbl>
    <w:p>
      <w:pPr>
        <w:spacing w:after="0"/>
      </w:pPr>
    </w:p>
    <w:p>
      <w:pPr>
        <w:spacing w:before="80" w:after="140"/>
        <w:ind w:left="198"/>
        <w:shd w:fill="E8F5F2"/>
        <w:pBdr>
          <w:left w:val="single" w:sz="24" w:space="6" w:color="067647"/>
        </w:pBdr>
      </w:pPr>
      <w:r>
        <w:rPr>
          <w:rFonts w:ascii="Microsoft YaHei" w:hAnsi="Microsoft YaHei" w:eastAsia="Microsoft YaHei"/>
          <w:b/>
          <w:color w:val="067647"/>
          <w:sz w:val="18"/>
        </w:rPr>
        <w:t xml:space="preserve">最快启动  </w:t>
      </w:r>
      <w:r>
        <w:rPr>
          <w:rFonts w:ascii="Microsoft YaHei" w:hAnsi="Microsoft YaHei" w:eastAsia="Microsoft YaHei"/>
          <w:sz w:val="18"/>
        </w:rPr>
        <w:t>先运行主平台，再进入“模型服务”菜单按 DINOv2 → PaddleOCR → Grounding DINO → SAM2 → Qwen3-VL 的顺序一键启动。</w:t>
      </w:r>
    </w:p>
    <w:p>
      <w:pPr>
        <w:spacing w:before="80" w:after="140"/>
        <w:ind w:left="198"/>
        <w:shd w:fill="FFF4CE"/>
        <w:pBdr>
          <w:left w:val="single" w:sz="24" w:space="6" w:color="9A6700"/>
        </w:pBdr>
      </w:pPr>
      <w:r>
        <w:rPr>
          <w:rFonts w:ascii="Microsoft YaHei" w:hAnsi="Microsoft YaHei" w:eastAsia="Microsoft YaHei"/>
          <w:b/>
          <w:color w:val="9A6700"/>
          <w:sz w:val="18"/>
        </w:rPr>
        <w:t xml:space="preserve">生产前提  </w:t>
      </w:r>
      <w:r>
        <w:rPr>
          <w:rFonts w:ascii="Microsoft YaHei" w:hAnsi="Microsoft YaHei" w:eastAsia="Microsoft YaHei"/>
          <w:sz w:val="18"/>
        </w:rPr>
        <w:t>配方必须处于已发布状态，且拉线、物料、工序、相机、拍照次数与请求或图片名称解析结果一致。</w:t>
      </w:r>
    </w:p>
    <w:p>
      <w:r>
        <w:br w:type="page"/>
      </w:r>
    </w:p>
    <w:p>
      <w:pPr>
        <w:pStyle w:val="Heading1"/>
        <w:keepNext/>
      </w:pPr>
      <w:r>
        <w:t>1. 目的、范围与系统边界</w:t>
      </w:r>
    </w:p>
    <w:p>
      <w:r>
        <w:t>本文档用于指导 vision-platform 工业视觉智能平台的本地启动、模型服务管理、配方测试、生产接口联调及常见故障排查。平台采用“工业配方 + 产品世界模型 + 固定 ROI + 多算法规则 + 可选 VLM 复核”的执行方式。</w:t>
      </w:r>
    </w:p>
    <w:p>
      <w:pPr>
        <w:pStyle w:val="Heading2"/>
        <w:keepNext/>
      </w:pPr>
      <w:r>
        <w:t>1.1 适用范围</w:t>
      </w:r>
    </w:p>
    <w:p>
      <w:pPr>
        <w:pStyle w:val="ListBullet"/>
        <w:keepNext w:val="0"/>
      </w:pPr>
      <w:r>
        <w:rPr>
          <w:rFonts w:ascii="Microsoft YaHei" w:hAnsi="Microsoft YaHei" w:eastAsia="Microsoft YaHei"/>
          <w:sz w:val="18"/>
        </w:rPr>
        <w:t>错装、漏装、混装类检测；当前主要规则类型为物体存在、颜色和 OCR 文字识别。</w:t>
      </w:r>
    </w:p>
    <w:p>
      <w:pPr>
        <w:pStyle w:val="ListBullet"/>
        <w:keepNext w:val="0"/>
      </w:pPr>
      <w:r>
        <w:rPr>
          <w:rFonts w:ascii="Microsoft YaHei" w:hAnsi="Microsoft YaHei" w:eastAsia="Microsoft YaHei"/>
          <w:sz w:val="18"/>
        </w:rPr>
        <w:t>按拉线、物料、工序、相机和拍照次数匹配已发布配方。</w:t>
      </w:r>
    </w:p>
    <w:p>
      <w:pPr>
        <w:pStyle w:val="ListBullet"/>
        <w:keepNext w:val="0"/>
      </w:pPr>
      <w:r>
        <w:rPr>
          <w:rFonts w:ascii="Microsoft YaHei" w:hAnsi="Microsoft YaHei" w:eastAsia="Microsoft YaHei"/>
          <w:sz w:val="18"/>
        </w:rPr>
        <w:t>支持 DINOv2、PaddleOCR、Grounding DINO、SAM2 和 Qwen3-VL 服务化调用。</w:t>
      </w:r>
    </w:p>
    <w:p>
      <w:pPr>
        <w:pStyle w:val="ListBullet"/>
        <w:keepNext w:val="0"/>
      </w:pPr>
      <w:r>
        <w:rPr>
          <w:rFonts w:ascii="Microsoft YaHei" w:hAnsi="Microsoft YaHei" w:eastAsia="Microsoft YaHei"/>
          <w:sz w:val="18"/>
        </w:rPr>
        <w:t>适用于本机共享文件路径方式，不在接口中重复上传高分辨率原图。</w:t>
      </w:r>
    </w:p>
    <w:p>
      <w:pPr>
        <w:pStyle w:val="Heading2"/>
        <w:keepNext/>
      </w:pPr>
      <w:r>
        <w:t>1.2 操作安全要求</w:t>
      </w:r>
    </w:p>
    <w:p>
      <w:pPr>
        <w:pStyle w:val="ListBullet"/>
        <w:keepNext w:val="0"/>
      </w:pPr>
      <w:r>
        <w:rPr>
          <w:rFonts w:ascii="Microsoft YaHei" w:hAnsi="Microsoft YaHei" w:eastAsia="Microsoft YaHei"/>
          <w:sz w:val="18"/>
        </w:rPr>
        <w:t>GPU 模型服务仅启动 1 个进程，禁止配置多个 Uvicorn worker 重复加载模型。</w:t>
      </w:r>
    </w:p>
    <w:p>
      <w:pPr>
        <w:pStyle w:val="ListBullet"/>
        <w:keepNext w:val="0"/>
      </w:pPr>
      <w:r>
        <w:rPr>
          <w:rFonts w:ascii="Microsoft YaHei" w:hAnsi="Microsoft YaHei" w:eastAsia="Microsoft YaHei"/>
          <w:sz w:val="18"/>
        </w:rPr>
        <w:t>生产检测前确认所有必需模型状态为 READY；模型异常不得按产品 NG 处理，应返回 ERROR。</w:t>
      </w:r>
    </w:p>
    <w:p>
      <w:pPr>
        <w:pStyle w:val="ListBullet"/>
        <w:keepNext w:val="0"/>
      </w:pPr>
      <w:r>
        <w:rPr>
          <w:rFonts w:ascii="Microsoft YaHei" w:hAnsi="Microsoft YaHei" w:eastAsia="Microsoft YaHei"/>
          <w:sz w:val="18"/>
        </w:rPr>
        <w:t>Qwen3-VL 只接收裁剪后的 ROI；不要将 20MP 整图作为常规复核输入。</w:t>
      </w:r>
    </w:p>
    <w:p>
      <w:pPr>
        <w:pStyle w:val="ListBullet"/>
        <w:keepNext w:val="0"/>
      </w:pPr>
      <w:r>
        <w:rPr>
          <w:rFonts w:ascii="Microsoft YaHei" w:hAnsi="Microsoft YaHei" w:eastAsia="Microsoft YaHei"/>
          <w:sz w:val="18"/>
        </w:rPr>
        <w:t>模型权重、虚拟环境、运行日志和现场测试图片不得提交到 Git 仓库。</w:t>
      </w:r>
    </w:p>
    <w:p>
      <w:pPr>
        <w:spacing w:before="80" w:after="140"/>
        <w:ind w:left="198"/>
        <w:shd w:fill="FDECEC"/>
        <w:pBdr>
          <w:left w:val="single" w:sz="24" w:space="6" w:color="B42318"/>
        </w:pBdr>
      </w:pPr>
      <w:r>
        <w:rPr>
          <w:rFonts w:ascii="Microsoft YaHei" w:hAnsi="Microsoft YaHei" w:eastAsia="Microsoft YaHei"/>
          <w:b/>
          <w:color w:val="B42318"/>
          <w:sz w:val="18"/>
        </w:rPr>
        <w:t xml:space="preserve">重要  </w:t>
      </w:r>
      <w:r>
        <w:rPr>
          <w:rFonts w:ascii="Microsoft YaHei" w:hAnsi="Microsoft YaHei" w:eastAsia="Microsoft YaHei"/>
          <w:sz w:val="18"/>
        </w:rPr>
        <w:t>平台主服务可先启动，但模型未就绪时执行测试会产生 502 Bad Gateway。出现 502 时优先检查对应模型服务状态和日志。</w:t>
      </w:r>
    </w:p>
    <w:p>
      <w:r>
        <w:br w:type="page"/>
      </w:r>
    </w:p>
    <w:p>
      <w:pPr>
        <w:pStyle w:val="Heading1"/>
        <w:keepNext/>
      </w:pPr>
      <w:r>
        <w:t>2. 服务清单与启动顺序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</w:trPr>
        <w:tc>
          <w:tcPr>
            <w:tcW w:type="dxa" w:w="208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服务</w:t>
            </w:r>
          </w:p>
        </w:tc>
        <w:tc>
          <w:tcPr>
            <w:tcW w:type="dxa" w:w="792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端口</w:t>
            </w:r>
          </w:p>
        </w:tc>
        <w:tc>
          <w:tcPr>
            <w:tcW w:type="dxa" w:w="2880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2015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运行环境</w:t>
            </w:r>
          </w:p>
        </w:tc>
        <w:tc>
          <w:tcPr>
            <w:tcW w:type="dxa" w:w="244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健康检查</w:t>
            </w:r>
          </w:p>
        </w:tc>
      </w:tr>
      <w:t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Vision Platform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9011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配方、ROI、规则、检测编排</w:t>
            </w:r>
          </w:p>
        </w:tc>
        <w:tc>
          <w:tcPr>
            <w:tcW w:type="dxa" w:w="20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.venv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/api/v1/health</w:t>
            </w:r>
          </w:p>
        </w:tc>
      </w:tr>
      <w:t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Grounding DINO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9021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AI 候选框、开放词汇定位</w:t>
            </w:r>
          </w:p>
        </w:tc>
        <w:tc>
          <w:tcPr>
            <w:tcW w:type="dxa" w:w="2015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.venv-qwen 优先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/health</w:t>
            </w:r>
          </w:p>
        </w:tc>
      </w:tr>
      <w:t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DINOv2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9022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参考图向量与存在性相似度</w:t>
            </w:r>
          </w:p>
        </w:tc>
        <w:tc>
          <w:tcPr>
            <w:tcW w:type="dxa" w:w="20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.venv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/health</w:t>
            </w:r>
          </w:p>
        </w:tc>
      </w:tr>
      <w:t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Qwen3-VL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9023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VLM 结果复核</w:t>
            </w:r>
          </w:p>
        </w:tc>
        <w:tc>
          <w:tcPr>
            <w:tcW w:type="dxa" w:w="2015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.venv-qwen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/health</w:t>
            </w:r>
          </w:p>
        </w:tc>
      </w:tr>
      <w:t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PaddleOCR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9024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专用 OCR 文字识别</w:t>
            </w:r>
          </w:p>
        </w:tc>
        <w:tc>
          <w:tcPr>
            <w:tcW w:type="dxa" w:w="20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ocr_service/.venv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/health</w:t>
            </w:r>
          </w:p>
        </w:tc>
      </w:tr>
      <w:t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SAM2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9025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线束等候选区域分割辅助</w:t>
            </w:r>
          </w:p>
        </w:tc>
        <w:tc>
          <w:tcPr>
            <w:tcW w:type="dxa" w:w="2015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.venv；默认 CPU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/health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2.1 推荐启动顺序</w:t>
      </w:r>
    </w:p>
    <w:p>
      <w:pPr>
        <w:pStyle w:val="ListNumber"/>
      </w:pPr>
      <w:r>
        <w:rPr>
          <w:rFonts w:ascii="Microsoft YaHei" w:hAnsi="Microsoft YaHei" w:eastAsia="Microsoft YaHei"/>
          <w:sz w:val="18"/>
        </w:rPr>
        <w:t>启动 Vision Platform 主服务并打开工作台。</w:t>
      </w:r>
    </w:p>
    <w:p>
      <w:pPr>
        <w:pStyle w:val="ListNumber"/>
      </w:pPr>
      <w:r>
        <w:rPr>
          <w:rFonts w:ascii="Microsoft YaHei" w:hAnsi="Microsoft YaHei" w:eastAsia="Microsoft YaHei"/>
          <w:sz w:val="18"/>
        </w:rPr>
        <w:t>启动 DINOv2；存在性规则和参考图向量依赖该服务。</w:t>
      </w:r>
    </w:p>
    <w:p>
      <w:pPr>
        <w:pStyle w:val="ListNumber"/>
      </w:pPr>
      <w:r>
        <w:rPr>
          <w:rFonts w:ascii="Microsoft YaHei" w:hAnsi="Microsoft YaHei" w:eastAsia="Microsoft YaHei"/>
          <w:sz w:val="18"/>
        </w:rPr>
        <w:t>启动 PaddleOCR；OCR 规则依赖该服务。</w:t>
      </w:r>
    </w:p>
    <w:p>
      <w:pPr>
        <w:pStyle w:val="ListNumber"/>
      </w:pPr>
      <w:r>
        <w:rPr>
          <w:rFonts w:ascii="Microsoft YaHei" w:hAnsi="Microsoft YaHei" w:eastAsia="Microsoft YaHei"/>
          <w:sz w:val="18"/>
        </w:rPr>
        <w:t>按需启动 Grounding DINO；用于上传标准图后的 AI 候选物体发现。</w:t>
      </w:r>
    </w:p>
    <w:p>
      <w:pPr>
        <w:pStyle w:val="ListNumber"/>
      </w:pPr>
      <w:r>
        <w:rPr>
          <w:rFonts w:ascii="Microsoft YaHei" w:hAnsi="Microsoft YaHei" w:eastAsia="Microsoft YaHei"/>
          <w:sz w:val="18"/>
        </w:rPr>
        <w:t>按需启动 SAM2；用于线束等候选区域分割辅助。</w:t>
      </w:r>
    </w:p>
    <w:p>
      <w:pPr>
        <w:pStyle w:val="ListNumber"/>
      </w:pPr>
      <w:r>
        <w:rPr>
          <w:rFonts w:ascii="Microsoft YaHei" w:hAnsi="Microsoft YaHei" w:eastAsia="Microsoft YaHei"/>
          <w:sz w:val="18"/>
        </w:rPr>
        <w:t>最后启动 Qwen3-VL；仅在启用 VLM 复核时需要。</w:t>
      </w:r>
    </w:p>
    <w:p>
      <w:pPr>
        <w:spacing w:before="80" w:after="140"/>
        <w:ind w:left="198"/>
        <w:shd w:fill="EAF2F8"/>
        <w:pBdr>
          <w:left w:val="single" w:sz="24" w:space="6" w:color="17365D"/>
        </w:pBdr>
      </w:pPr>
      <w:r>
        <w:rPr>
          <w:rFonts w:ascii="Microsoft YaHei" w:hAnsi="Microsoft YaHei" w:eastAsia="Microsoft YaHei"/>
          <w:b/>
          <w:color w:val="17365D"/>
          <w:sz w:val="18"/>
        </w:rPr>
        <w:t xml:space="preserve">资源建议  </w:t>
      </w:r>
      <w:r>
        <w:rPr>
          <w:rFonts w:ascii="Microsoft YaHei" w:hAnsi="Microsoft YaHei" w:eastAsia="Microsoft YaHei"/>
          <w:sz w:val="18"/>
        </w:rPr>
        <w:t>DINOv2、OCR 为生产主链；Grounding DINO、SAM2 主要用于配置辅助；Qwen3-VL 作为低频复核能力。</w:t>
      </w:r>
    </w:p>
    <w:p>
      <w:r>
        <w:br w:type="page"/>
      </w:r>
    </w:p>
    <w:p>
      <w:pPr>
        <w:pStyle w:val="Heading1"/>
        <w:keepNext/>
      </w:pPr>
      <w:r>
        <w:t>3. 首次部署与环境检查</w:t>
      </w:r>
    </w:p>
    <w:p>
      <w:pPr>
        <w:pStyle w:val="Heading2"/>
        <w:keepNext/>
      </w:pPr>
      <w:r>
        <w:t>3.1 目录检查</w:t>
      </w:r>
    </w:p>
    <w:p>
      <w:pPr>
        <w:pStyle w:val="CodeBlock"/>
        <w:keepLines/>
      </w:pPr>
      <w:r>
        <w:rPr>
          <w:rFonts w:ascii="Consolas" w:hAnsi="Consolas" w:eastAsia="Consolas"/>
          <w:sz w:val="16"/>
        </w:rPr>
        <w:t>vision-platform/</w:t>
        <w:br/>
        <w:t>├─ app/                  # 主平台</w:t>
        <w:br/>
        <w:t>├─ scripts/              # 启动与测试脚本</w:t>
        <w:br/>
        <w:t>├─ vision-models/        # 本地模型权重，不提交 Git</w:t>
        <w:br/>
        <w:t>├─ grounding_service/</w:t>
        <w:br/>
        <w:t>├─ dinov2_service/</w:t>
        <w:br/>
        <w:t>├─ qwen_vl_service/</w:t>
        <w:br/>
        <w:t>├─ ocr_service/</w:t>
        <w:br/>
        <w:t>├─ sam2_service/</w:t>
        <w:br/>
        <w:t>├─ test_images/          # 现场测试图片，不提交 Git</w:t>
        <w:br/>
        <w:t>├─ logs/model_services/  # 服务与调用日志</w:t>
        <w:br/>
        <w:t>└─ docs/                 # 本 SOP</w:t>
      </w:r>
    </w:p>
    <w:p>
      <w:pPr>
        <w:pStyle w:val="Heading2"/>
        <w:keepNext/>
      </w:pPr>
      <w:r>
        <w:t>3.2 配置文件</w:t>
      </w:r>
    </w:p>
    <w:p>
      <w:r>
        <w:t>首次使用时，将 .env.example 复制为 .env，并至少核对以下配置：</w:t>
      </w:r>
    </w:p>
    <w:p>
      <w:pPr>
        <w:pStyle w:val="CodeBlock"/>
        <w:keepLines/>
      </w:pPr>
      <w:r>
        <w:rPr>
          <w:rFonts w:ascii="Consolas" w:hAnsi="Consolas" w:eastAsia="Consolas"/>
          <w:sz w:val="16"/>
        </w:rPr>
        <w:t>APP_HOST=0.0.0.0</w:t>
        <w:br/>
        <w:t>APP_PORT=9011</w:t>
        <w:br/>
        <w:t>GROUNDING_SERVICE_URL=http://127.0.0.1:9021</w:t>
        <w:br/>
        <w:t>DINOV2_SERVICE_URL=http://127.0.0.1:9022</w:t>
        <w:br/>
        <w:t>QWEN_VL_SERVICE_URL=http://127.0.0.1:9023</w:t>
        <w:br/>
        <w:t>PADDLEOCR_SERVICE_URL=http://127.0.0.1:9024</w:t>
        <w:br/>
        <w:t>SAM2_SERVICE_URL=http://127.0.0.1:9025</w:t>
        <w:br/>
        <w:t>QWEN_VL_QUANTIZATION=4bit</w:t>
        <w:br/>
        <w:t>SAM2_DEVICE=cpu</w:t>
      </w:r>
    </w:p>
    <w:p>
      <w:pPr>
        <w:spacing w:before="80" w:after="140"/>
        <w:ind w:left="198"/>
        <w:shd w:fill="FFF4CE"/>
        <w:pBdr>
          <w:left w:val="single" w:sz="24" w:space="6" w:color="9A6700"/>
        </w:pBdr>
      </w:pPr>
      <w:r>
        <w:rPr>
          <w:rFonts w:ascii="Microsoft YaHei" w:hAnsi="Microsoft YaHei" w:eastAsia="Microsoft YaHei"/>
          <w:b/>
          <w:color w:val="9A6700"/>
          <w:sz w:val="18"/>
        </w:rPr>
        <w:t xml:space="preserve">端口说明  </w:t>
      </w:r>
      <w:r>
        <w:rPr>
          <w:rFonts w:ascii="Microsoft YaHei" w:hAnsi="Microsoft YaHei" w:eastAsia="Microsoft YaHei"/>
          <w:sz w:val="18"/>
        </w:rPr>
        <w:t>.env.example 默认 APP_PORT 为 9010；当前现场页面使用 9011。请在 .env 中统一为 9011，或按实际端口同步修改访问地址。</w:t>
      </w:r>
    </w:p>
    <w:p>
      <w:pPr>
        <w:pStyle w:val="Heading2"/>
        <w:keepNext/>
      </w:pPr>
      <w:r>
        <w:t>3.3 模型目录</w:t>
      </w:r>
    </w:p>
    <w:p>
      <w:pPr>
        <w:pStyle w:val="ListBullet"/>
        <w:keepNext w:val="0"/>
      </w:pPr>
      <w:r>
        <w:rPr>
          <w:rFonts w:ascii="Microsoft YaHei" w:hAnsi="Microsoft YaHei" w:eastAsia="Microsoft YaHei"/>
          <w:sz w:val="18"/>
        </w:rPr>
        <w:t>DINOv2：vision-models/dinov2-base。</w:t>
      </w:r>
    </w:p>
    <w:p>
      <w:pPr>
        <w:pStyle w:val="ListBullet"/>
        <w:keepNext w:val="0"/>
      </w:pPr>
      <w:r>
        <w:rPr>
          <w:rFonts w:ascii="Microsoft YaHei" w:hAnsi="Microsoft YaHei" w:eastAsia="Microsoft YaHei"/>
          <w:sz w:val="18"/>
        </w:rPr>
        <w:t>Grounding DINO：按 .env 与服务脚本配置的本地目录。</w:t>
      </w:r>
    </w:p>
    <w:p>
      <w:pPr>
        <w:pStyle w:val="ListBullet"/>
        <w:keepNext w:val="0"/>
      </w:pPr>
      <w:r>
        <w:rPr>
          <w:rFonts w:ascii="Microsoft YaHei" w:hAnsi="Microsoft YaHei" w:eastAsia="Microsoft YaHei"/>
          <w:sz w:val="18"/>
        </w:rPr>
        <w:t>Qwen3-VL：vision-models/qwen3-vl-4b-instruct，默认 4bit 量化。</w:t>
      </w:r>
    </w:p>
    <w:p>
      <w:pPr>
        <w:pStyle w:val="ListBullet"/>
        <w:keepNext w:val="0"/>
      </w:pPr>
      <w:r>
        <w:rPr>
          <w:rFonts w:ascii="Microsoft YaHei" w:hAnsi="Microsoft YaHei" w:eastAsia="Microsoft YaHei"/>
          <w:sz w:val="18"/>
        </w:rPr>
        <w:t>SAM2：vision-models/sam2.1-hiera-small/sam2.1_hiera_small.pt。</w:t>
      </w:r>
    </w:p>
    <w:p>
      <w:r>
        <w:br w:type="page"/>
      </w:r>
    </w:p>
    <w:p>
      <w:pPr>
        <w:pStyle w:val="Heading1"/>
        <w:keepNext/>
      </w:pPr>
      <w:r>
        <w:t>4. 日常启动、停止与状态检查</w:t>
      </w:r>
    </w:p>
    <w:p>
      <w:pPr>
        <w:pStyle w:val="Heading2"/>
        <w:keepNext/>
      </w:pPr>
      <w:r>
        <w:t>4.1 启动主平台</w:t>
      </w:r>
    </w:p>
    <w:p>
      <w:r>
        <w:t>在项目根目录执行：</w:t>
      </w:r>
    </w:p>
    <w:p>
      <w:pPr>
        <w:pStyle w:val="CodeBlock"/>
        <w:keepLines/>
      </w:pPr>
      <w:r>
        <w:rPr>
          <w:rFonts w:ascii="Consolas" w:hAnsi="Consolas" w:eastAsia="Consolas"/>
          <w:sz w:val="16"/>
        </w:rPr>
        <w:t>powershell -ExecutionPolicy Bypass -File .\start.ps1</w:t>
      </w:r>
    </w:p>
    <w:p>
      <w:r>
        <w:t>如需明确使用现场端口 9011，可执行：</w:t>
      </w:r>
    </w:p>
    <w:p>
      <w:pPr>
        <w:pStyle w:val="CodeBlock"/>
        <w:keepLines/>
      </w:pPr>
      <w:r>
        <w:rPr>
          <w:rFonts w:ascii="Consolas" w:hAnsi="Consolas" w:eastAsia="Consolas"/>
          <w:sz w:val="16"/>
        </w:rPr>
        <w:t>.\.venv\Scripts\python.exe -m uvicorn app.main:app --host 0.0.0.0 --port 9011 --workers 1</w:t>
      </w:r>
    </w:p>
    <w:p>
      <w:pPr>
        <w:pStyle w:val="ListBullet"/>
        <w:keepNext w:val="0"/>
      </w:pPr>
      <w:r>
        <w:rPr>
          <w:rFonts w:ascii="Microsoft YaHei" w:hAnsi="Microsoft YaHei" w:eastAsia="Microsoft YaHei"/>
          <w:sz w:val="18"/>
        </w:rPr>
        <w:t>工作台：http://127.0.0.1:9011/workspace</w:t>
      </w:r>
    </w:p>
    <w:p>
      <w:pPr>
        <w:pStyle w:val="ListBullet"/>
        <w:keepNext w:val="0"/>
      </w:pPr>
      <w:r>
        <w:rPr>
          <w:rFonts w:ascii="Microsoft YaHei" w:hAnsi="Microsoft YaHei" w:eastAsia="Microsoft YaHei"/>
          <w:sz w:val="18"/>
        </w:rPr>
        <w:t>接口文档：http://127.0.0.1:9011/docs</w:t>
      </w:r>
    </w:p>
    <w:p>
      <w:pPr>
        <w:pStyle w:val="ListBullet"/>
        <w:keepNext w:val="0"/>
      </w:pPr>
      <w:r>
        <w:rPr>
          <w:rFonts w:ascii="Microsoft YaHei" w:hAnsi="Microsoft YaHei" w:eastAsia="Microsoft YaHei"/>
          <w:sz w:val="18"/>
        </w:rPr>
        <w:t>平台健康检查：http://127.0.0.1:9011/api/v1/health</w:t>
      </w:r>
    </w:p>
    <w:p>
      <w:pPr>
        <w:pStyle w:val="Heading2"/>
        <w:keepNext/>
      </w:pPr>
      <w:r>
        <w:t>4.2 一键启动模型服务（推荐）</w:t>
      </w:r>
    </w:p>
    <w:p>
      <w:pPr>
        <w:pStyle w:val="ListNumber"/>
      </w:pPr>
      <w:r>
        <w:rPr>
          <w:rFonts w:ascii="Microsoft YaHei" w:hAnsi="Microsoft YaHei" w:eastAsia="Microsoft YaHei"/>
          <w:sz w:val="18"/>
        </w:rPr>
        <w:t>进入工作台左侧“模型服务”菜单。</w:t>
      </w:r>
    </w:p>
    <w:p>
      <w:pPr>
        <w:pStyle w:val="ListNumber"/>
      </w:pPr>
      <w:r>
        <w:rPr>
          <w:rFonts w:ascii="Microsoft YaHei" w:hAnsi="Microsoft YaHei" w:eastAsia="Microsoft YaHei"/>
          <w:sz w:val="18"/>
        </w:rPr>
        <w:t>查看服务 IP、端口、运行环境和状态。</w:t>
      </w:r>
    </w:p>
    <w:p>
      <w:pPr>
        <w:pStyle w:val="ListNumber"/>
      </w:pPr>
      <w:r>
        <w:rPr>
          <w:rFonts w:ascii="Microsoft YaHei" w:hAnsi="Microsoft YaHei" w:eastAsia="Microsoft YaHei"/>
          <w:sz w:val="18"/>
        </w:rPr>
        <w:t>点击目标服务的“启动”按钮。</w:t>
      </w:r>
    </w:p>
    <w:p>
      <w:pPr>
        <w:pStyle w:val="ListNumber"/>
      </w:pPr>
      <w:r>
        <w:rPr>
          <w:rFonts w:ascii="Microsoft YaHei" w:hAnsi="Microsoft YaHei" w:eastAsia="Microsoft YaHei"/>
          <w:sz w:val="18"/>
        </w:rPr>
        <w:t>等待状态由 STARTING 变为 READY。</w:t>
      </w:r>
    </w:p>
    <w:p>
      <w:pPr>
        <w:pStyle w:val="ListNumber"/>
      </w:pPr>
      <w:r>
        <w:rPr>
          <w:rFonts w:ascii="Microsoft YaHei" w:hAnsi="Microsoft YaHei" w:eastAsia="Microsoft YaHei"/>
          <w:sz w:val="18"/>
        </w:rPr>
        <w:t>如状态为 ERROR，点击“查看日志”读取最新错误。</w:t>
      </w:r>
    </w:p>
    <w:p>
      <w:pPr>
        <w:pStyle w:val="Heading2"/>
        <w:keepNext/>
      </w:pPr>
      <w:r>
        <w:t>4.3 手动启动模型服务</w:t>
      </w:r>
    </w:p>
    <w:p>
      <w:pPr>
        <w:pStyle w:val="CodeBlock"/>
        <w:keepLines/>
      </w:pPr>
      <w:r>
        <w:rPr>
          <w:rFonts w:ascii="Consolas" w:hAnsi="Consolas" w:eastAsia="Consolas"/>
          <w:sz w:val="16"/>
        </w:rPr>
        <w:t>.\.venv-qwen\Scripts\python.exe scripts\run_grounding.py   # 9021</w:t>
        <w:br/>
        <w:t>.\.venv\Scripts\python.exe scripts\run_dinov2.py           # 9022</w:t>
        <w:br/>
        <w:t>.\.venv-qwen\Scripts\python.exe scripts\run_qwen_vl.py     # 9023</w:t>
        <w:br/>
        <w:t>.\ocr_service\.venv\Scripts\python.exe scripts\run_ocr.py # 9024</w:t>
        <w:br/>
        <w:t>.\.venv\Scripts\python.exe scripts\run_sam2.py             # 9025</w:t>
      </w:r>
    </w:p>
    <w:p>
      <w:pPr>
        <w:pStyle w:val="Heading2"/>
        <w:keepNext/>
      </w:pPr>
      <w:r>
        <w:t>4.4 停止服务</w:t>
      </w:r>
    </w:p>
    <w:p>
      <w:pPr>
        <w:pStyle w:val="ListBullet"/>
        <w:keepNext w:val="0"/>
      </w:pPr>
      <w:r>
        <w:rPr>
          <w:rFonts w:ascii="Microsoft YaHei" w:hAnsi="Microsoft YaHei" w:eastAsia="Microsoft YaHei"/>
          <w:sz w:val="18"/>
        </w:rPr>
        <w:t>推荐：在“模型服务”菜单逐个点击“停止”。</w:t>
      </w:r>
    </w:p>
    <w:p>
      <w:pPr>
        <w:pStyle w:val="ListBullet"/>
        <w:keepNext w:val="0"/>
      </w:pPr>
      <w:r>
        <w:rPr>
          <w:rFonts w:ascii="Microsoft YaHei" w:hAnsi="Microsoft YaHei" w:eastAsia="Microsoft YaHei"/>
          <w:sz w:val="18"/>
        </w:rPr>
        <w:t>停止顺序：Qwen3-VL → SAM2 → Grounding DINO → PaddleOCR → DINOv2，最后停止主平台。</w:t>
      </w:r>
    </w:p>
    <w:p>
      <w:pPr>
        <w:pStyle w:val="ListBullet"/>
        <w:keepNext w:val="0"/>
      </w:pPr>
      <w:r>
        <w:rPr>
          <w:rFonts w:ascii="Microsoft YaHei" w:hAnsi="Microsoft YaHei" w:eastAsia="Microsoft YaHei"/>
          <w:sz w:val="18"/>
        </w:rPr>
        <w:t>确认服务状态为 STOPPED 后再关机或释放 GPU。</w:t>
      </w:r>
    </w:p>
    <w:p>
      <w:r>
        <w:br w:type="page"/>
      </w:r>
    </w:p>
    <w:p>
      <w:pPr>
        <w:pStyle w:val="Heading1"/>
        <w:keepNext/>
      </w:pPr>
      <w:r>
        <w:t>5. 健康检查与运行确认</w:t>
      </w:r>
    </w:p>
    <w:p>
      <w:pPr>
        <w:pStyle w:val="Heading2"/>
        <w:keepNext/>
      </w:pPr>
      <w:r>
        <w:t>5.1 浏览器检查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160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检查项</w:t>
            </w:r>
          </w:p>
        </w:tc>
        <w:tc>
          <w:tcPr>
            <w:tcW w:type="dxa" w:w="5040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地址</w:t>
            </w:r>
          </w:p>
        </w:tc>
        <w:tc>
          <w:tcPr>
            <w:tcW w:type="dxa" w:w="302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期望结果</w:t>
            </w:r>
          </w:p>
        </w:tc>
      </w:tr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平台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http://127.0.0.1:9011/api/v1/health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HTTP 200，状态正常</w:t>
            </w:r>
          </w:p>
        </w:tc>
      </w:tr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Grounding DINO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http://127.0.0.1:9021/health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status=READY</w:t>
            </w:r>
          </w:p>
        </w:tc>
      </w:tr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DINOv2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http://127.0.0.1:9022/health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status=READY</w:t>
            </w:r>
          </w:p>
        </w:tc>
      </w:tr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Qwen3-VL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http://127.0.0.1:9023/health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status=READY</w:t>
            </w:r>
          </w:p>
        </w:tc>
      </w:tr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PaddleOCR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http://127.0.0.1:9024/health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status=READY</w:t>
            </w:r>
          </w:p>
        </w:tc>
      </w:tr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SAM2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http://127.0.0.1:9025/health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status=READY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5.2 PowerShell 批量检查</w:t>
      </w:r>
    </w:p>
    <w:p>
      <w:pPr>
        <w:pStyle w:val="CodeBlock"/>
        <w:keepLines/>
      </w:pPr>
      <w:r>
        <w:rPr>
          <w:rFonts w:ascii="Consolas" w:hAnsi="Consolas" w:eastAsia="Consolas"/>
          <w:sz w:val="16"/>
        </w:rPr>
        <w:t>$urls = @(</w:t>
        <w:br/>
        <w:t xml:space="preserve">  'http://127.0.0.1:9011/api/v1/health',</w:t>
        <w:br/>
        <w:t xml:space="preserve">  'http://127.0.0.1:9021/health',</w:t>
        <w:br/>
        <w:t xml:space="preserve">  'http://127.0.0.1:9022/health',</w:t>
        <w:br/>
        <w:t xml:space="preserve">  'http://127.0.0.1:9023/health',</w:t>
        <w:br/>
        <w:t xml:space="preserve">  'http://127.0.0.1:9024/health',</w:t>
        <w:br/>
        <w:t xml:space="preserve">  'http://127.0.0.1:9025/health'</w:t>
        <w:br/>
        <w:t>)</w:t>
        <w:br/>
        <w:t>$urls | ForEach-Object { Invoke-RestMethod $_ }</w:t>
      </w:r>
    </w:p>
    <w:p>
      <w:pPr>
        <w:spacing w:before="80" w:after="140"/>
        <w:ind w:left="198"/>
        <w:shd w:fill="E8F5F2"/>
        <w:pBdr>
          <w:left w:val="single" w:sz="24" w:space="6" w:color="067647"/>
        </w:pBdr>
      </w:pPr>
      <w:r>
        <w:rPr>
          <w:rFonts w:ascii="Microsoft YaHei" w:hAnsi="Microsoft YaHei" w:eastAsia="Microsoft YaHei"/>
          <w:b/>
          <w:color w:val="067647"/>
          <w:sz w:val="18"/>
        </w:rPr>
        <w:t xml:space="preserve">判定标准  </w:t>
      </w:r>
      <w:r>
        <w:rPr>
          <w:rFonts w:ascii="Microsoft YaHei" w:hAnsi="Microsoft YaHei" w:eastAsia="Microsoft YaHei"/>
          <w:sz w:val="18"/>
        </w:rPr>
        <w:t>所有本次检测所需服务必须为 READY。未启用某项能力时，可不启动对应服务，例如不启用 VLM 复核时可不启动 Qwen3-VL。</w:t>
      </w:r>
    </w:p>
    <w:p>
      <w:r>
        <w:br w:type="page"/>
      </w:r>
    </w:p>
    <w:p>
      <w:pPr>
        <w:pStyle w:val="Heading1"/>
        <w:keepNext/>
      </w:pPr>
      <w:r>
        <w:t>6. 配方、ROI 与规则配置 SOP</w:t>
      </w:r>
    </w:p>
    <w:p>
      <w:pPr>
        <w:pStyle w:val="Heading2"/>
        <w:keepNext/>
      </w:pPr>
      <w:r>
        <w:t>6.1 建立配方</w:t>
      </w:r>
    </w:p>
    <w:p>
      <w:r>
        <w:t>配方业务键由以下字段共同确定：</w:t>
      </w:r>
    </w:p>
    <w:p>
      <w:pPr>
        <w:pStyle w:val="CodeBlock"/>
        <w:keepLines/>
      </w:pPr>
      <w:r>
        <w:rPr>
          <w:rFonts w:ascii="Consolas" w:hAnsi="Consolas" w:eastAsia="Consolas"/>
          <w:sz w:val="16"/>
        </w:rPr>
        <w:t>拉线（line） + 物料（materialcode） + 工序（operation） + 相机（camera） + 拍照次数（picture）</w:t>
      </w:r>
    </w:p>
    <w:p>
      <w:pPr>
        <w:pStyle w:val="ListNumber"/>
      </w:pPr>
      <w:r>
        <w:rPr>
          <w:rFonts w:ascii="Microsoft YaHei" w:hAnsi="Microsoft YaHei" w:eastAsia="Microsoft YaHei"/>
          <w:sz w:val="18"/>
        </w:rPr>
        <w:t>创建或选择产品、拉线、工序和相机信息。</w:t>
      </w:r>
    </w:p>
    <w:p>
      <w:pPr>
        <w:pStyle w:val="ListNumber"/>
      </w:pPr>
      <w:r>
        <w:rPr>
          <w:rFonts w:ascii="Microsoft YaHei" w:hAnsi="Microsoft YaHei" w:eastAsia="Microsoft YaHei"/>
          <w:sz w:val="18"/>
        </w:rPr>
        <w:t>创建配方，填写拉线、物料、工序、相机和拍照次数。</w:t>
      </w:r>
    </w:p>
    <w:p>
      <w:pPr>
        <w:pStyle w:val="ListNumber"/>
      </w:pPr>
      <w:r>
        <w:rPr>
          <w:rFonts w:ascii="Microsoft YaHei" w:hAnsi="Microsoft YaHei" w:eastAsia="Microsoft YaHei"/>
          <w:sz w:val="18"/>
        </w:rPr>
        <w:t>上传该拍照位的标准整图。</w:t>
      </w:r>
    </w:p>
    <w:p>
      <w:pPr>
        <w:pStyle w:val="ListNumber"/>
      </w:pPr>
      <w:r>
        <w:rPr>
          <w:rFonts w:ascii="Microsoft YaHei" w:hAnsi="Microsoft YaHei" w:eastAsia="Microsoft YaHei"/>
          <w:sz w:val="18"/>
        </w:rPr>
        <w:t>使用 AI 候选物体辅助生成检测框，或手动画出固定 ROI。</w:t>
      </w:r>
    </w:p>
    <w:p>
      <w:pPr>
        <w:pStyle w:val="ListNumber"/>
      </w:pPr>
      <w:r>
        <w:rPr>
          <w:rFonts w:ascii="Microsoft YaHei" w:hAnsi="Microsoft YaHei" w:eastAsia="Microsoft YaHei"/>
          <w:sz w:val="18"/>
        </w:rPr>
        <w:t>删除不需要的候选框；拖动或缩放框后确认 ROI。</w:t>
      </w:r>
    </w:p>
    <w:p>
      <w:pPr>
        <w:pStyle w:val="ListNumber"/>
      </w:pPr>
      <w:r>
        <w:rPr>
          <w:rFonts w:ascii="Microsoft YaHei" w:hAnsi="Microsoft YaHei" w:eastAsia="Microsoft YaHei"/>
          <w:sz w:val="18"/>
        </w:rPr>
        <w:t>为每个 ROI 添加规则明细：物体存在、颜色或 OCR。</w:t>
      </w:r>
    </w:p>
    <w:p>
      <w:pPr>
        <w:pStyle w:val="ListNumber"/>
      </w:pPr>
      <w:r>
        <w:rPr>
          <w:rFonts w:ascii="Microsoft YaHei" w:hAnsi="Microsoft YaHei" w:eastAsia="Microsoft YaHei"/>
          <w:sz w:val="18"/>
        </w:rPr>
        <w:t>点击“测试当前 ROI”，在当前页面下方查看规则、主模型结果、VLM 结果和最终判定。</w:t>
      </w:r>
    </w:p>
    <w:p>
      <w:pPr>
        <w:pStyle w:val="ListNumber"/>
      </w:pPr>
      <w:r>
        <w:rPr>
          <w:rFonts w:ascii="Microsoft YaHei" w:hAnsi="Microsoft YaHei" w:eastAsia="Microsoft YaHei"/>
          <w:sz w:val="18"/>
        </w:rPr>
        <w:t>所有明细测试通过后保存并发布配方。</w:t>
      </w:r>
    </w:p>
    <w:p>
      <w:pPr>
        <w:pStyle w:val="Heading2"/>
        <w:keepNext/>
      </w:pPr>
      <w:r>
        <w:t>6.2 三类规则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58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规则类型</w:t>
            </w:r>
          </w:p>
        </w:tc>
        <w:tc>
          <w:tcPr>
            <w:tcW w:type="dxa" w:w="2880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执行方式</w:t>
            </w:r>
          </w:p>
        </w:tc>
        <w:tc>
          <w:tcPr>
            <w:tcW w:type="dxa" w:w="2880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主要输入</w:t>
            </w:r>
          </w:p>
        </w:tc>
        <w:tc>
          <w:tcPr>
            <w:tcW w:type="dxa" w:w="2880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主要输出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物体存在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DINOv2 参考图相似度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ROI + 标准参考图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类别、分数、相似度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颜色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OpenCV 本地分析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ROI + 自动/人工颜色值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主色、占比、颜色值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OCR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PaddleOCR 专用模型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ROI + 期望文字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识别文字、置信度</w:t>
            </w:r>
          </w:p>
        </w:tc>
      </w:tr>
    </w:tbl>
    <w:p>
      <w:pPr>
        <w:spacing w:after="0"/>
      </w:pPr>
    </w:p>
    <w:p>
      <w:pPr>
        <w:spacing w:before="80" w:after="140"/>
        <w:ind w:left="198"/>
        <w:shd w:fill="FFF4CE"/>
        <w:pBdr>
          <w:left w:val="single" w:sz="24" w:space="6" w:color="9A6700"/>
        </w:pBdr>
      </w:pPr>
      <w:r>
        <w:rPr>
          <w:rFonts w:ascii="Microsoft YaHei" w:hAnsi="Microsoft YaHei" w:eastAsia="Microsoft YaHei"/>
          <w:b/>
          <w:color w:val="9A6700"/>
          <w:sz w:val="18"/>
        </w:rPr>
        <w:t xml:space="preserve">ROI 同步  </w:t>
      </w:r>
      <w:r>
        <w:rPr>
          <w:rFonts w:ascii="Microsoft YaHei" w:hAnsi="Microsoft YaHei" w:eastAsia="Microsoft YaHei"/>
          <w:sz w:val="18"/>
        </w:rPr>
        <w:t>二次修改 ROI 后，应重新裁剪并同步更新规则明细中的标准参考图，再重新生成 DINOv2 embedding。</w:t>
      </w:r>
    </w:p>
    <w:p>
      <w:pPr>
        <w:spacing w:before="80" w:after="140"/>
        <w:ind w:left="198"/>
        <w:shd w:fill="EAF2F8"/>
        <w:pBdr>
          <w:left w:val="single" w:sz="24" w:space="6" w:color="17365D"/>
        </w:pBdr>
      </w:pPr>
      <w:r>
        <w:rPr>
          <w:rFonts w:ascii="Microsoft YaHei" w:hAnsi="Microsoft YaHei" w:eastAsia="Microsoft YaHei"/>
          <w:b/>
          <w:color w:val="17365D"/>
          <w:sz w:val="18"/>
        </w:rPr>
        <w:t xml:space="preserve">测试展示  </w:t>
      </w:r>
      <w:r>
        <w:rPr>
          <w:rFonts w:ascii="Microsoft YaHei" w:hAnsi="Microsoft YaHei" w:eastAsia="Microsoft YaHei"/>
          <w:sz w:val="18"/>
        </w:rPr>
        <w:t>ROI 测试标注图应展示裁剪后的 ROI，而不是整张原图；用户应能一目了然地看到当前规则、模型输出值、复核值和最终状态。</w:t>
      </w:r>
    </w:p>
    <w:p>
      <w:r>
        <w:br w:type="page"/>
      </w:r>
    </w:p>
    <w:p>
      <w:pPr>
        <w:pStyle w:val="Heading1"/>
        <w:keepNext/>
      </w:pPr>
      <w:r>
        <w:t>7. 生产检测接口</w:t>
      </w:r>
    </w:p>
    <w:p>
      <w:pPr>
        <w:pStyle w:val="Heading2"/>
        <w:keepNext/>
      </w:pPr>
      <w:r>
        <w:t>7.1 接口地址</w:t>
      </w:r>
    </w:p>
    <w:p>
      <w:pPr>
        <w:pStyle w:val="CodeBlock"/>
        <w:keepLines/>
      </w:pPr>
      <w:r>
        <w:rPr>
          <w:rFonts w:ascii="Consolas" w:hAnsi="Consolas" w:eastAsia="Consolas"/>
          <w:sz w:val="16"/>
        </w:rPr>
        <w:t>POST http://127.0.0.1:9011/api/detect</w:t>
        <w:br/>
        <w:t>Content-Type: application/json</w:t>
      </w:r>
    </w:p>
    <w:p>
      <w:pPr>
        <w:pStyle w:val="Heading2"/>
        <w:keepNext/>
      </w:pPr>
      <w:r>
        <w:t>7.2 结构化参数调用（推荐）</w:t>
      </w:r>
    </w:p>
    <w:p>
      <w:pPr>
        <w:pStyle w:val="CodeBlock"/>
        <w:keepLines/>
      </w:pPr>
      <w:r>
        <w:rPr>
          <w:rFonts w:ascii="Consolas" w:hAnsi="Consolas" w:eastAsia="Consolas"/>
          <w:sz w:val="16"/>
        </w:rPr>
        <w:t>{</w:t>
        <w:br/>
        <w:t xml:space="preserve">  "sn": "SN202608020001",</w:t>
        <w:br/>
        <w:t xml:space="preserve">  "line": "LINE01",</w:t>
        <w:br/>
        <w:t xml:space="preserve">  "materialcode": "MAT001",</w:t>
        <w:br/>
        <w:t xml:space="preserve">  "operation": "OP10",</w:t>
        <w:br/>
        <w:t xml:space="preserve">  "camera": "CAMERA1",</w:t>
        <w:br/>
        <w:t xml:space="preserve">  "picture": 1,</w:t>
        <w:br/>
        <w:t xml:space="preserve">  "image_paths": [</w:t>
        <w:br/>
        <w:t xml:space="preserve">    "C:\\Users\\Administrator\\Desktop\\vision-platform\\test_images\\ASSY-CAMERA1PICTURE1.png"</w:t>
        <w:br/>
        <w:t xml:space="preserve">  ]</w:t>
        <w:br/>
        <w:t>}</w:t>
      </w:r>
    </w:p>
    <w:p>
      <w:pPr>
        <w:pStyle w:val="Heading2"/>
        <w:keepNext/>
      </w:pPr>
      <w:r>
        <w:t>7.3 文件名解析调用</w:t>
      </w:r>
    </w:p>
    <w:p>
      <w:r>
        <w:t>camera 和 picture 可省略，平台从文件名 CAMERA1PICTURE1 解析“相机 1、第一次拍照”：</w:t>
      </w:r>
    </w:p>
    <w:p>
      <w:pPr>
        <w:pStyle w:val="CodeBlock"/>
        <w:keepLines/>
      </w:pPr>
      <w:r>
        <w:rPr>
          <w:rFonts w:ascii="Consolas" w:hAnsi="Consolas" w:eastAsia="Consolas"/>
          <w:sz w:val="16"/>
        </w:rPr>
        <w:t>{</w:t>
        <w:br/>
        <w:t xml:space="preserve">  "sn": "SN202608020001",</w:t>
        <w:br/>
        <w:t xml:space="preserve">  "line": "LINE01",</w:t>
        <w:br/>
        <w:t xml:space="preserve">  "materialcode": "MAT001",</w:t>
        <w:br/>
        <w:t xml:space="preserve">  "operation": "OP10",</w:t>
        <w:br/>
        <w:t xml:space="preserve">  "image_paths": [</w:t>
        <w:br/>
        <w:t xml:space="preserve">    "C:\\Users\\Administrator\\Desktop\\vision-platform\\test_images\\ASSY-CAMERA1PICTURE1.png"</w:t>
        <w:br/>
        <w:t xml:space="preserve">  ]</w:t>
        <w:br/>
        <w:t>}</w:t>
      </w:r>
    </w:p>
    <w:p>
      <w:pPr>
        <w:spacing w:before="80" w:after="140"/>
        <w:ind w:left="198"/>
        <w:shd w:fill="EAF2F8"/>
        <w:pBdr>
          <w:left w:val="single" w:sz="24" w:space="6" w:color="17365D"/>
        </w:pBdr>
      </w:pPr>
      <w:r>
        <w:rPr>
          <w:rFonts w:ascii="Microsoft YaHei" w:hAnsi="Microsoft YaHei" w:eastAsia="Microsoft YaHei"/>
          <w:b/>
          <w:color w:val="17365D"/>
          <w:sz w:val="18"/>
        </w:rPr>
        <w:t xml:space="preserve">匹配优先级  </w:t>
      </w:r>
      <w:r>
        <w:rPr>
          <w:rFonts w:ascii="Microsoft YaHei" w:hAnsi="Microsoft YaHei" w:eastAsia="Microsoft YaHei"/>
          <w:sz w:val="18"/>
        </w:rPr>
        <w:t>接口结构化参数 &gt; 图片名称解析。生产接口必须记录最终命中的配方编码与版本，避免命名规则变化导致误用配方。</w:t>
      </w:r>
    </w:p>
    <w:p>
      <w:r>
        <w:br w:type="page"/>
      </w:r>
    </w:p>
    <w:p>
      <w:pPr>
        <w:pStyle w:val="Heading1"/>
        <w:keepNext/>
      </w:pPr>
      <w:r>
        <w:t>8. 接口返回与判定语义</w:t>
      </w:r>
    </w:p>
    <w:p>
      <w:pPr>
        <w:pStyle w:val="CodeBlock"/>
        <w:keepLines/>
      </w:pPr>
      <w:r>
        <w:rPr>
          <w:rFonts w:ascii="Consolas" w:hAnsi="Consolas" w:eastAsia="Consolas"/>
          <w:sz w:val="16"/>
        </w:rPr>
        <w:t>{</w:t>
        <w:br/>
        <w:t xml:space="preserve">  "code": 0,</w:t>
        <w:br/>
        <w:t xml:space="preserve">  "message": "success",</w:t>
        <w:br/>
        <w:t xml:space="preserve">  "result": "NG",</w:t>
        <w:br/>
        <w:t xml:space="preserve">  "image_paths": ["C:/.../result.png"],</w:t>
        <w:br/>
        <w:t xml:space="preserve">  "image_results": [</w:t>
        <w:br/>
        <w:t xml:space="preserve">    {</w:t>
        <w:br/>
        <w:t xml:space="preserve">      "source_image_path": "C:/.../ASSY-CAMERA1PICTURE1.png",</w:t>
        <w:br/>
        <w:t xml:space="preserve">      "camera": "CAMERA1",</w:t>
        <w:br/>
        <w:t xml:space="preserve">      "picture": 1,</w:t>
        <w:br/>
        <w:t xml:space="preserve">      "result": "NG",</w:t>
        <w:br/>
        <w:t xml:space="preserve">      "items": [</w:t>
        <w:br/>
        <w:t xml:space="preserve">        {"roi_code": "FUSE_01", "rule_type": "EXISTENCE", "result": "OK"},</w:t>
        <w:br/>
        <w:t xml:space="preserve">        {"roi_code": "LABEL_01", "rule_type": "OCR", "result": "NG"}</w:t>
        <w:br/>
        <w:t xml:space="preserve">      ]</w:t>
        <w:br/>
        <w:t xml:space="preserve">    }</w:t>
        <w:br/>
        <w:t xml:space="preserve">  ]</w:t>
        <w:br/>
        <w:t>}</w:t>
      </w:r>
    </w:p>
    <w:p>
      <w:pPr>
        <w:pStyle w:val="Heading2"/>
        <w:keepNext/>
      </w:pPr>
      <w:r>
        <w:t>8.1 code 与 result 必须分开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440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460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4320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示例</w:t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code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接口是否成功完成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0=成功；非 0=参数、配方或模型异常</w:t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result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产品质量判定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OK / NG / ERROR</w:t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image_paths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处理后的图片路径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标注图或结果图数组</w:t>
            </w:r>
          </w:p>
        </w:tc>
      </w:tr>
    </w:tbl>
    <w:p>
      <w:pPr>
        <w:spacing w:after="0"/>
      </w:pPr>
    </w:p>
    <w:p>
      <w:pPr>
        <w:spacing w:before="80" w:after="140"/>
        <w:ind w:left="198"/>
        <w:shd w:fill="FDECEC"/>
        <w:pBdr>
          <w:left w:val="single" w:sz="24" w:space="6" w:color="B42318"/>
        </w:pBdr>
      </w:pPr>
      <w:r>
        <w:rPr>
          <w:rFonts w:ascii="Microsoft YaHei" w:hAnsi="Microsoft YaHei" w:eastAsia="Microsoft YaHei"/>
          <w:b/>
          <w:color w:val="B42318"/>
          <w:sz w:val="18"/>
        </w:rPr>
        <w:t xml:space="preserve">错误边界  </w:t>
      </w:r>
      <w:r>
        <w:rPr>
          <w:rFonts w:ascii="Microsoft YaHei" w:hAnsi="Microsoft YaHei" w:eastAsia="Microsoft YaHei"/>
          <w:sz w:val="18"/>
        </w:rPr>
        <w:t>产品真实缺陷应返回 code=0、result=NG；模型服务不可用或超时应返回 result=ERROR，不得伪装为产品 NG。</w:t>
      </w:r>
    </w:p>
    <w:p>
      <w:r>
        <w:br w:type="page"/>
      </w:r>
    </w:p>
    <w:p>
      <w:pPr>
        <w:pStyle w:val="Heading1"/>
        <w:keepNext/>
      </w:pPr>
      <w:r>
        <w:t>9. VLM 结果复核策略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2232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复核方式</w:t>
            </w:r>
          </w:p>
        </w:tc>
        <w:tc>
          <w:tcPr>
            <w:tcW w:type="dxa" w:w="194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是否参考上下限</w:t>
            </w:r>
          </w:p>
        </w:tc>
        <w:tc>
          <w:tcPr>
            <w:tcW w:type="dxa" w:w="352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生产行为</w:t>
            </w:r>
          </w:p>
        </w:tc>
        <w:tc>
          <w:tcPr>
            <w:tcW w:type="dxa" w:w="266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页面行为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每次检测都复核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否</w:t>
            </w:r>
          </w:p>
        </w:tc>
        <w:tc>
          <w:tcPr>
            <w:tcW w:type="dxa" w:w="35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每次执行 Qwen3-VL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不显示复核上下限输入框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仅低置信度复核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是</w:t>
            </w:r>
          </w:p>
        </w:tc>
        <w:tc>
          <w:tcPr>
            <w:tcW w:type="dxa" w:w="3528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分数位于上下限之间时执行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显示复核下限和上限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测试当前 ROI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否</w:t>
            </w:r>
          </w:p>
        </w:tc>
        <w:tc>
          <w:tcPr>
            <w:tcW w:type="dxa" w:w="35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启用复核后强制执行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同时显示主模型与 VLM 输出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9.1 低置信度判定</w:t>
      </w:r>
    </w:p>
    <w:p>
      <w:pPr>
        <w:pStyle w:val="ListBullet"/>
        <w:keepNext w:val="0"/>
      </w:pPr>
      <w:r>
        <w:rPr>
          <w:rFonts w:ascii="Microsoft YaHei" w:hAnsi="Microsoft YaHei" w:eastAsia="Microsoft YaHei"/>
          <w:sz w:val="18"/>
        </w:rPr>
        <w:t>主模型分数低于复核下限：直接 NG，不执行 VLM。</w:t>
      </w:r>
    </w:p>
    <w:p>
      <w:pPr>
        <w:pStyle w:val="ListBullet"/>
        <w:keepNext w:val="0"/>
      </w:pPr>
      <w:r>
        <w:rPr>
          <w:rFonts w:ascii="Microsoft YaHei" w:hAnsi="Microsoft YaHei" w:eastAsia="Microsoft YaHei"/>
          <w:sz w:val="18"/>
        </w:rPr>
        <w:t>主模型分数位于下限与上限之间：执行 VLM 复核。</w:t>
      </w:r>
    </w:p>
    <w:p>
      <w:pPr>
        <w:pStyle w:val="ListBullet"/>
        <w:keepNext w:val="0"/>
      </w:pPr>
      <w:r>
        <w:rPr>
          <w:rFonts w:ascii="Microsoft YaHei" w:hAnsi="Microsoft YaHei" w:eastAsia="Microsoft YaHei"/>
          <w:sz w:val="18"/>
        </w:rPr>
        <w:t>主模型分数高于复核上限：采用主模型结果，不执行 VLM。</w:t>
      </w:r>
    </w:p>
    <w:p>
      <w:pPr>
        <w:pStyle w:val="ListBullet"/>
        <w:keepNext w:val="0"/>
      </w:pPr>
      <w:r>
        <w:rPr>
          <w:rFonts w:ascii="Microsoft YaHei" w:hAnsi="Microsoft YaHei" w:eastAsia="Microsoft YaHei"/>
          <w:sz w:val="18"/>
        </w:rPr>
        <w:t>VLM 返回 UNCERTAIN 或 ERROR：默认按 NG/ERROR 策略处理，不允许自动放行。</w:t>
      </w:r>
    </w:p>
    <w:p>
      <w:pPr>
        <w:pStyle w:val="Heading2"/>
        <w:keepNext/>
      </w:pPr>
      <w:r>
        <w:t>9.2 自动复核提示词</w:t>
      </w:r>
    </w:p>
    <w:p>
      <w:r>
        <w:t>勾选复核后，平台根据对象类型与校验规则自动生成复核要求，用户可修改，但不要求从零编写。示例：</w:t>
      </w:r>
    </w:p>
    <w:p>
      <w:pPr>
        <w:pStyle w:val="CodeBlock"/>
        <w:keepLines/>
      </w:pPr>
      <w:r>
        <w:rPr>
          <w:rFonts w:ascii="Consolas" w:hAnsi="Consolas" w:eastAsia="Consolas"/>
          <w:sz w:val="16"/>
        </w:rPr>
        <w:t>只检查当前 ROI。对象类型：连接器。</w:t>
        <w:br/>
        <w:t>校验规则：物体必须存在；OCR 必须包含 ABC123。</w:t>
        <w:br/>
        <w:t>不要根据常识猜测；看不清时返回 UNCERTAIN；只输出结构化 JSON。</w:t>
      </w:r>
    </w:p>
    <w:p>
      <w:r>
        <w:br w:type="page"/>
      </w:r>
    </w:p>
    <w:p>
      <w:pPr>
        <w:pStyle w:val="Heading1"/>
        <w:keepNext/>
      </w:pPr>
      <w:r>
        <w:t>10. 日志与故障排查</w:t>
      </w:r>
    </w:p>
    <w:p>
      <w:pPr>
        <w:pStyle w:val="Heading2"/>
        <w:keepNext/>
      </w:pPr>
      <w:r>
        <w:t>10.1 日志位置</w:t>
      </w:r>
    </w:p>
    <w:p>
      <w:pPr>
        <w:pStyle w:val="CodeBlock"/>
        <w:keepLines/>
      </w:pPr>
      <w:r>
        <w:rPr>
          <w:rFonts w:ascii="Consolas" w:hAnsi="Consolas" w:eastAsia="Consolas"/>
          <w:sz w:val="16"/>
        </w:rPr>
        <w:t>logs/model_services/&lt;service&gt;.out.log    # 标准输出</w:t>
        <w:br/>
        <w:t>logs/model_services/&lt;service&gt;.error.log  # 启动/运行错误</w:t>
        <w:br/>
        <w:t>logs/model_services/&lt;service&gt;.calls.log  # 推理调用记录</w:t>
        <w:br/>
        <w:t>data/model_services/&lt;service&gt;.pid        # 服务进程状态</w:t>
      </w:r>
    </w:p>
    <w:p>
      <w:r>
        <w:t>工作台“模型服务”页面的日志区域带滚动条，并自动滚动到最新日志。规则测试也会写入对应模型的调用日志；OpenCV 颜色分析为平台内本地执行，不会产生独立模型服务日志。</w:t>
      </w:r>
    </w:p>
    <w:p>
      <w:pPr>
        <w:pStyle w:val="Heading2"/>
        <w:keepNext/>
      </w:pPr>
      <w:r>
        <w:t>10.2 常见故障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232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现象</w:t>
            </w:r>
          </w:p>
        </w:tc>
        <w:tc>
          <w:tcPr>
            <w:tcW w:type="dxa" w:w="3960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常见原因</w:t>
            </w:r>
          </w:p>
        </w:tc>
        <w:tc>
          <w:tcPr>
            <w:tcW w:type="dxa" w:w="482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处理方法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502 Bad Gateway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目标模型未启动、启动失败或超时</w:t>
            </w:r>
          </w:p>
        </w:tc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打开模型服务页；启动服务；查看 error/calls 日志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状态一直 STARTING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模型加载慢、权重路径错误或显存不足</w:t>
            </w:r>
          </w:p>
        </w:tc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等待并刷新；检查模型目录、GPU 和错误日志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CUDA OOM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多进程重复加载、VLM 图片过大或显存占用过高</w:t>
            </w:r>
          </w:p>
        </w:tc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保持 workers=1；裁剪 ROI；停止非必要模型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找不到配方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业务字段或文件名解析结果不匹配</w:t>
            </w:r>
          </w:p>
        </w:tc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核对 line、materialcode、operation、camera、picture 和发布状态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OCR 无结果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OCR 服务异常、ROI 偏移或文字过小</w:t>
            </w:r>
          </w:p>
        </w:tc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检查 9024；调整 ROI；确认清晰度和旋转方向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相似度不稳定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参考图不足、ROI 不一致或 embedding 未更新</w:t>
            </w:r>
          </w:p>
        </w:tc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补充代表性样本；同步 ROI；重新生成 embedding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VLM 未执行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未启用复核或分数不在复核区间</w:t>
            </w:r>
          </w:p>
        </w:tc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检查复核方式；测试当前 ROI 会强制执行</w:t>
            </w:r>
          </w:p>
        </w:tc>
      </w:tr>
    </w:tbl>
    <w:p>
      <w:pPr>
        <w:spacing w:after="0"/>
      </w:pPr>
    </w:p>
    <w:p>
      <w:pPr>
        <w:spacing w:before="80" w:after="140"/>
        <w:ind w:left="198"/>
        <w:shd w:fill="E8F5F2"/>
        <w:pBdr>
          <w:left w:val="single" w:sz="24" w:space="6" w:color="067647"/>
        </w:pBdr>
      </w:pPr>
      <w:r>
        <w:rPr>
          <w:rFonts w:ascii="Microsoft YaHei" w:hAnsi="Microsoft YaHei" w:eastAsia="Microsoft YaHei"/>
          <w:b/>
          <w:color w:val="067647"/>
          <w:sz w:val="18"/>
        </w:rPr>
        <w:t xml:space="preserve">排障顺序  </w:t>
      </w:r>
      <w:r>
        <w:rPr>
          <w:rFonts w:ascii="Microsoft YaHei" w:hAnsi="Microsoft YaHei" w:eastAsia="Microsoft YaHei"/>
          <w:sz w:val="18"/>
        </w:rPr>
        <w:t>先看服务状态 → 再看错误日志 → 再看调用日志 → 最后检查配方、ROI 和规则输入。</w:t>
      </w:r>
    </w:p>
    <w:p>
      <w:r>
        <w:br w:type="page"/>
      </w:r>
    </w:p>
    <w:p>
      <w:pPr>
        <w:pStyle w:val="Heading1"/>
        <w:keepNext/>
      </w:pPr>
      <w:r>
        <w:t>11. 日常操作检查表</w:t>
      </w:r>
    </w:p>
    <w:p>
      <w:pPr>
        <w:pStyle w:val="Heading2"/>
        <w:keepNext/>
      </w:pPr>
      <w:r>
        <w:t>11.1 开机检查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936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6840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检查项</w:t>
            </w:r>
          </w:p>
        </w:tc>
        <w:tc>
          <w:tcPr>
            <w:tcW w:type="dxa" w:w="3240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结果</w:t>
            </w:r>
          </w:p>
        </w:tc>
      </w:tr>
      <w:tr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主平台可以打开，/api/v1/health 正常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□ 正常  □ 异常</w:t>
            </w:r>
          </w:p>
        </w:tc>
      </w:tr>
      <w:tr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本次配方所需模型均为 READY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□ 正常  □ 异常</w:t>
            </w:r>
          </w:p>
        </w:tc>
      </w:tr>
      <w:tr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GPU 显存无异常占满，服务无重复进程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□ 正常  □ 异常</w:t>
            </w:r>
          </w:p>
        </w:tc>
      </w:tr>
      <w:tr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共享图片路径可读取，测试图片可打开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□ 正常  □ 异常</w:t>
            </w:r>
          </w:p>
        </w:tc>
      </w:tr>
      <w:tr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配方为已发布版本，业务键匹配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□ 正常  □ 异常</w:t>
            </w:r>
          </w:p>
        </w:tc>
      </w:tr>
      <w:tr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使用标准样本完成一次 ROI 测试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□ 正常  □ 异常</w:t>
            </w:r>
          </w:p>
        </w:tc>
      </w:tr>
      <w:tr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生产接口返回 code=0 且结果结构完整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□ 正常  □ 异常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11.2 关机检查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936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7632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检查项</w:t>
            </w:r>
          </w:p>
        </w:tc>
        <w:tc>
          <w:tcPr>
            <w:tcW w:type="dxa" w:w="244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结果</w:t>
            </w:r>
          </w:p>
        </w:tc>
      </w:tr>
      <w:tr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76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确认无正在执行的检测任务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□ 完成</w:t>
            </w:r>
          </w:p>
        </w:tc>
      </w:tr>
      <w:tr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7632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保存并发布需要生效的配方版本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□ 完成</w:t>
            </w:r>
          </w:p>
        </w:tc>
      </w:tr>
      <w:tr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76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按顺序停止模型服务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□ 完成</w:t>
            </w:r>
          </w:p>
        </w:tc>
      </w:tr>
      <w:tr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7632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停止主平台并确认端口释放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□ 完成</w:t>
            </w:r>
          </w:p>
        </w:tc>
      </w:tr>
      <w:tr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76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检查当天 ERROR 日志并记录问题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□ 完成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12. 版本与变更管理</w:t>
      </w:r>
    </w:p>
    <w:p>
      <w:pPr>
        <w:pStyle w:val="ListBullet"/>
        <w:keepNext w:val="0"/>
      </w:pPr>
      <w:r>
        <w:rPr>
          <w:rFonts w:ascii="Microsoft YaHei" w:hAnsi="Microsoft YaHei" w:eastAsia="Microsoft YaHei"/>
          <w:sz w:val="18"/>
        </w:rPr>
        <w:t>已发布配方不得直接覆盖；修改时复制为新草稿版本，测试通过后发布。</w:t>
      </w:r>
    </w:p>
    <w:p>
      <w:pPr>
        <w:pStyle w:val="ListBullet"/>
        <w:keepNext w:val="0"/>
      </w:pPr>
      <w:r>
        <w:rPr>
          <w:rFonts w:ascii="Microsoft YaHei" w:hAnsi="Microsoft YaHei" w:eastAsia="Microsoft YaHei"/>
          <w:sz w:val="18"/>
        </w:rPr>
        <w:t>ROI 调整后重新生成对应参考图和 embedding，并保留旧版本检测追溯信息。</w:t>
      </w:r>
    </w:p>
    <w:p>
      <w:pPr>
        <w:pStyle w:val="ListBullet"/>
        <w:keepNext w:val="0"/>
      </w:pPr>
      <w:r>
        <w:rPr>
          <w:rFonts w:ascii="Microsoft YaHei" w:hAnsi="Microsoft YaHei" w:eastAsia="Microsoft YaHei"/>
          <w:sz w:val="18"/>
        </w:rPr>
        <w:t>模型升级后记录模型代码、版本和参数；DINOv2 升级通常需要重建全部 embedding。</w:t>
      </w:r>
    </w:p>
    <w:p>
      <w:pPr>
        <w:pStyle w:val="ListBullet"/>
        <w:keepNext w:val="0"/>
      </w:pPr>
      <w:r>
        <w:rPr>
          <w:rFonts w:ascii="Microsoft YaHei" w:hAnsi="Microsoft YaHei" w:eastAsia="Microsoft YaHei"/>
          <w:sz w:val="18"/>
        </w:rPr>
        <w:t>Git 只提交源代码、配置模板、文档和小型测试资产；不提交模型权重、虚拟环境、日志和现场大图。</w:t>
      </w:r>
    </w:p>
    <w:p>
      <w:pPr>
        <w:pStyle w:val="ListBullet"/>
        <w:keepNext w:val="0"/>
      </w:pPr>
      <w:r>
        <w:rPr>
          <w:rFonts w:ascii="Microsoft YaHei" w:hAnsi="Microsoft YaHei" w:eastAsia="Microsoft YaHei"/>
          <w:sz w:val="18"/>
        </w:rPr>
        <w:t>每次上线前执行自动化测试并检查 Git 暂存文件，避免泄露 .env 或生产数据。</w:t>
      </w:r>
    </w:p>
    <w:p>
      <w:pPr>
        <w:pStyle w:val="Heading2"/>
        <w:keepNext/>
      </w:pPr>
      <w:r>
        <w:t>12.1 文档变更记录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152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172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6120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变更说明</w:t>
            </w:r>
          </w:p>
        </w:tc>
        <w:tc>
          <w:tcPr>
            <w:tcW w:type="dxa" w:w="194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编制/审核</w:t>
            </w:r>
          </w:p>
        </w:tc>
      </w:tr>
      <w:t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V1.0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2026-08-02</w:t>
            </w:r>
          </w:p>
        </w:tc>
        <w:tc>
          <w:tcPr>
            <w:tcW w:type="dxa" w:w="61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首次发布：服务启动、接口、配方、VLM 复核和排障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项目组 / 待审核</w:t>
            </w:r>
          </w:p>
        </w:tc>
      </w:tr>
    </w:tbl>
    <w:p>
      <w:pPr>
        <w:spacing w:after="0"/>
      </w:pPr>
    </w:p>
    <w:p>
      <w:pPr>
        <w:spacing w:before="80" w:after="140"/>
        <w:ind w:left="198"/>
        <w:shd w:fill="FFF4CE"/>
        <w:pBdr>
          <w:left w:val="single" w:sz="24" w:space="6" w:color="9A6700"/>
        </w:pBdr>
      </w:pPr>
      <w:r>
        <w:rPr>
          <w:rFonts w:ascii="Microsoft YaHei" w:hAnsi="Microsoft YaHei" w:eastAsia="Microsoft YaHei"/>
          <w:b/>
          <w:color w:val="9A6700"/>
          <w:sz w:val="18"/>
        </w:rPr>
        <w:t xml:space="preserve">发布前确认  </w:t>
      </w:r>
      <w:r>
        <w:rPr>
          <w:rFonts w:ascii="Microsoft YaHei" w:hAnsi="Microsoft YaHei" w:eastAsia="Microsoft YaHei"/>
          <w:sz w:val="18"/>
        </w:rPr>
        <w:t>本 SOP 应与实际 .env 端口、模型目录和生产配方规则保持一致。现场配置发生变化时，应同步修订文档版本。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037" w:left="1181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sz w:val="16"/>
      </w:rPr>
      <w:t xml:space="preserve">第 </w:t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0F766E"/>
        <w:sz w:val="15"/>
      </w:rPr>
      <w:t>VISION PLATFORM  ·  运行与接口操作 SOP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 w:eastAsia="Microsoft YaHei"/>
      <w:color w:val="1F29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F766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293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60" w:after="80"/>
    </w:pPr>
    <w:rPr>
      <w:rFonts w:asciiTheme="majorHAnsi" w:eastAsiaTheme="majorEastAsia" w:hAnsiTheme="majorHAnsi" w:cstheme="majorBidi" w:ascii="Calibri" w:hAnsi="Calibri" w:eastAsia="Microsoft YaHei"/>
      <w:b/>
      <w:i/>
      <w:iCs/>
      <w:color w:val="0F766E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Microsoft YaHei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Microsoft YaHei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 w:line="240" w:lineRule="auto"/>
      <w:ind w:left="198" w:right="198"/>
      <w:shd w:fill="F3F4F6"/>
    </w:pPr>
    <w:rPr>
      <w:rFonts w:ascii="Consolas" w:hAnsi="Consolas" w:eastAsia="Microsoft YaHei"/>
      <w:color w:val="1F2937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Vision Platform 运行与接口操作 SOP</dc:title>
  <dc:subject>工业视觉平台、模型服务和检测接口的启动、停止、检查与排障</dc:subject>
  <dc:creator>Vision Platform 项目组</dc:creator>
  <cp:keywords>Vision Platform, SOP, Grounding DINO, DINOv2, Qwen3-VL, PaddleOCR, SAM2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