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644FD">
      <w:pPr>
        <w:spacing w:before="0" w:after="0" w:line="92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2B841603">
      <w:pPr>
        <w:pStyle w:val="31"/>
      </w:pPr>
      <w:r>
        <w:rPr>
          <w:rFonts w:ascii="微软雅黑" w:hAnsi="微软雅黑" w:eastAsia="微软雅黑" w:cs="微软雅黑"/>
          <w:b/>
          <w:color w:val="62141F"/>
          <w:sz w:val="58"/>
        </w:rPr>
        <w:t>基于 AI 的数智党校学习系统</w:t>
      </w:r>
    </w:p>
    <w:p w14:paraId="777FF468">
      <w:pPr>
        <w:pStyle w:val="26"/>
      </w:pPr>
      <w:r>
        <w:rPr>
          <w:rFonts w:ascii="微软雅黑" w:hAnsi="微软雅黑" w:eastAsia="微软雅黑" w:cs="微软雅黑"/>
          <w:b/>
          <w:color w:val="8B1E2D"/>
          <w:sz w:val="32"/>
        </w:rPr>
        <w:t>方案计划书</w:t>
      </w:r>
    </w:p>
    <w:p w14:paraId="48D82BA0">
      <w:pPr>
        <w:spacing w:after="720"/>
        <w:jc w:val="center"/>
      </w:pPr>
      <w:r>
        <w:rPr>
          <w:rFonts w:ascii="微软雅黑" w:hAnsi="微软雅黑" w:eastAsia="微软雅黑" w:cs="微软雅黑"/>
          <w:color w:val="666666"/>
          <w:sz w:val="23"/>
        </w:rPr>
        <w:t>面向党员学习、组织管理与数据决策的“学—练—考—评”一体化平台</w:t>
      </w:r>
      <w:bookmarkStart w:id="0" w:name="_GoBack"/>
      <w:bookmarkEnd w:id="0"/>
    </w:p>
    <w:p w14:paraId="3737D73D">
      <w:pPr>
        <w:spacing w:before="0" w:after="0" w:line="56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020415DB">
      <w:pPr>
        <w:spacing w:after="100"/>
        <w:jc w:val="center"/>
      </w:pPr>
      <w:r>
        <w:rPr>
          <w:rFonts w:ascii="微软雅黑" w:hAnsi="微软雅黑" w:eastAsia="微软雅黑" w:cs="微软雅黑"/>
          <w:b/>
          <w:color w:val="666666"/>
          <w:sz w:val="19"/>
        </w:rPr>
        <w:t xml:space="preserve">赛题编号  </w:t>
      </w:r>
      <w:r>
        <w:rPr>
          <w:rFonts w:ascii="微软雅黑" w:hAnsi="微软雅黑" w:eastAsia="微软雅黑" w:cs="微软雅黑"/>
          <w:b/>
          <w:color w:val="252525"/>
          <w:sz w:val="21"/>
        </w:rPr>
        <w:t>A08</w:t>
      </w:r>
      <w:r>
        <w:rPr>
          <w:rFonts w:ascii="微软雅黑" w:hAnsi="微软雅黑" w:eastAsia="微软雅黑" w:cs="微软雅黑"/>
          <w:color w:val="C79A2B"/>
          <w:sz w:val="19"/>
        </w:rPr>
        <w:t xml:space="preserve">  </w:t>
      </w:r>
    </w:p>
    <w:p w14:paraId="66F94E74">
      <w:pPr>
        <w:spacing w:after="100"/>
        <w:jc w:val="center"/>
      </w:pPr>
      <w:r>
        <w:rPr>
          <w:rFonts w:ascii="微软雅黑" w:hAnsi="微软雅黑" w:eastAsia="微软雅黑" w:cs="微软雅黑"/>
          <w:b/>
          <w:color w:val="666666"/>
          <w:sz w:val="19"/>
        </w:rPr>
        <w:t xml:space="preserve">文档版本  </w:t>
      </w:r>
      <w:r>
        <w:rPr>
          <w:rFonts w:ascii="微软雅黑" w:hAnsi="微软雅黑" w:eastAsia="微软雅黑" w:cs="微软雅黑"/>
          <w:b/>
          <w:color w:val="252525"/>
          <w:sz w:val="21"/>
        </w:rPr>
        <w:t>V1.0</w:t>
      </w:r>
      <w:r>
        <w:rPr>
          <w:rFonts w:ascii="微软雅黑" w:hAnsi="微软雅黑" w:eastAsia="微软雅黑" w:cs="微软雅黑"/>
          <w:color w:val="C79A2B"/>
          <w:sz w:val="19"/>
        </w:rPr>
        <w:t xml:space="preserve">    |    </w:t>
      </w:r>
      <w:r>
        <w:rPr>
          <w:rFonts w:ascii="微软雅黑" w:hAnsi="微软雅黑" w:eastAsia="微软雅黑" w:cs="微软雅黑"/>
          <w:b/>
          <w:color w:val="666666"/>
          <w:sz w:val="19"/>
        </w:rPr>
        <w:t xml:space="preserve">编制日期  </w:t>
      </w:r>
      <w:r>
        <w:rPr>
          <w:rFonts w:ascii="微软雅黑" w:hAnsi="微软雅黑" w:eastAsia="微软雅黑" w:cs="微软雅黑"/>
          <w:b/>
          <w:color w:val="252525"/>
          <w:sz w:val="21"/>
        </w:rPr>
        <w:t>2026 年 8 月</w:t>
      </w:r>
    </w:p>
    <w:p w14:paraId="12EDDEAD">
      <w:r>
        <w:br w:type="page"/>
      </w:r>
    </w:p>
    <w:p w14:paraId="4A5710C1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目录</w:t>
      </w:r>
    </w:p>
    <w:p w14:paraId="135E1430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项目概述与方案边界</w:t>
      </w:r>
    </w:p>
    <w:p w14:paraId="17C9B09F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建设目标与创新亮点</w:t>
      </w:r>
    </w:p>
    <w:p w14:paraId="6BCFB906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用户角色与业务闭环</w:t>
      </w:r>
    </w:p>
    <w:p w14:paraId="4CAB5857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总体技术架构</w:t>
      </w:r>
    </w:p>
    <w:p w14:paraId="4571E654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双端功能实现方案</w:t>
      </w:r>
    </w:p>
    <w:p w14:paraId="3D086D6A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三项核心 AI 能力实现</w:t>
      </w:r>
    </w:p>
    <w:p w14:paraId="38A420B7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数据、指标与权限设计</w:t>
      </w:r>
    </w:p>
    <w:p w14:paraId="7CF60C3E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工程实现与部署方案</w:t>
      </w:r>
    </w:p>
    <w:p w14:paraId="245DD1B9">
      <w:r>
        <w:br w:type="page"/>
      </w:r>
    </w:p>
    <w:p w14:paraId="68F9602B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执行摘要</w:t>
      </w:r>
    </w:p>
    <w:p w14:paraId="3F0389EC">
      <w:pPr>
        <w:pStyle w:val="165"/>
      </w:pPr>
      <w:r>
        <w:rPr>
          <w:rFonts w:ascii="微软雅黑" w:hAnsi="微软雅黑" w:eastAsia="微软雅黑" w:cs="微软雅黑"/>
        </w:rPr>
        <w:t>本方案面向党委管理员、支部书记和党员三类用户，构建管理后台与移动学习端协同的数智党校学习系统。系统围绕“学—练—考—评”闭环，将组织、人、内容、任务、题库、试卷、测验、学习记录和统计指标统一到同一业务数据底座，并通过 AI 提供个性化推荐、自然语言数据查询和综合评价报告。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CA15C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C2F7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评审维度</w:t>
            </w:r>
          </w:p>
        </w:tc>
        <w:tc>
          <w:tcPr>
            <w:tcW w:w="71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122D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方案回答</w:t>
            </w:r>
          </w:p>
        </w:tc>
      </w:tr>
      <w:tr w14:paraId="6B9782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EBA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业务完整度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FBD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覆盖组织管理、学习任务、内容学习、题库组卷、测验考试、统计分析、报告与通知，形成闭环。</w:t>
            </w:r>
          </w:p>
        </w:tc>
      </w:tr>
      <w:tr w14:paraId="3C3EDC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0BE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AI 有效性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25A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AI 仅负责语义理解、排序和生成；权限、指标和事实数据均由后端服务约束，避免“能聊天、不能办事”。</w:t>
            </w:r>
          </w:p>
        </w:tc>
      </w:tr>
      <w:tr w14:paraId="1A872E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7DE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技术可落地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A1C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采用 Vue 3 + NestJS + Prisma 的工程化架构，支持 MySQL、Redis、文件存储与国内大模型兼容接口。</w:t>
            </w:r>
          </w:p>
        </w:tc>
      </w:tr>
      <w:tr w14:paraId="272056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681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比赛可展示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106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通过三角色账号串联任务发布、党员学习、在线答题、统计看板、AI 查询与报告生成，形成可连续演示的完整故事线。</w:t>
            </w:r>
          </w:p>
        </w:tc>
      </w:tr>
    </w:tbl>
    <w:p w14:paraId="053A8A7F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09ED6925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项目概述与方案边界</w:t>
      </w:r>
    </w:p>
    <w:p w14:paraId="7510CCEB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建设背景</w:t>
      </w:r>
    </w:p>
    <w:p w14:paraId="65E90D69">
      <w:r>
        <w:rPr>
          <w:rFonts w:ascii="微软雅黑" w:hAnsi="微软雅黑" w:eastAsia="微软雅黑" w:cs="微软雅黑"/>
        </w:rPr>
        <w:t>传统党校学习往往依赖线下会议、纸质材料和人工汇总，存在学习资源分散、任务触达不及时、学习过程不可量化、测验组织成本高、统计分析滞后等问题。管理者虽然掌握大量组织和学习数据，但缺少低门槛的数据查询与解释工具；党员也难以根据个人薄弱点获得持续改进建议。</w:t>
      </w:r>
    </w:p>
    <w:p w14:paraId="0F10ABF3">
      <w:r>
        <w:rPr>
          <w:rFonts w:ascii="微软雅黑" w:hAnsi="微软雅黑" w:eastAsia="微软雅黑" w:cs="微软雅黑"/>
        </w:rPr>
        <w:t>本方案通过统一业务平台解决“数据有没有”的问题，再通过 AI 解决“数据怎么用”的问题。系统不是把大模型简单嵌入页面，而是把大模型置于受控的业务流程中，使每一项 AI 输出都能够追溯到学习记录、测验结果和组织权限。</w:t>
      </w:r>
    </w:p>
    <w:p w14:paraId="462A534B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范围边界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3D304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5DB5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范围类型</w:t>
            </w:r>
          </w:p>
        </w:tc>
        <w:tc>
          <w:tcPr>
            <w:tcW w:w="71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63FF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内容</w:t>
            </w:r>
          </w:p>
        </w:tc>
      </w:tr>
      <w:tr w14:paraId="11A1C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28C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核心范围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775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管理后台、移动学习端、统一 REST API、组织与角色权限、学习考试闭环、统计分析、三项 AI 能力。</w:t>
            </w:r>
          </w:p>
        </w:tc>
      </w:tr>
      <w:tr w14:paraId="0F9EF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E27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增强范围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417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群聊、通知、AI 报告批量生成与发布、健康检查、缓存、生产部署与监控。</w:t>
            </w:r>
          </w:p>
        </w:tc>
      </w:tr>
    </w:tbl>
    <w:p w14:paraId="08E8815A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606C6A60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设计原则</w:t>
      </w:r>
    </w:p>
    <w:p w14:paraId="1983AAFE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业务闭环优先：先完成任务发布—学习—答题—统计—改进的主链路，再叠加增强功能。</w:t>
      </w:r>
    </w:p>
    <w:p w14:paraId="2A82669D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真实数据驱动：AI 结论必须基于结构化业务数据，不允许模型自行假设组织指标。</w:t>
      </w:r>
    </w:p>
    <w:p w14:paraId="74281D39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权限服务端收口：页面隐藏只是体验优化，最终数据范围由 API 依据用户角色和组织强制判定。</w:t>
      </w:r>
    </w:p>
    <w:p w14:paraId="6DF7F2D0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可解释与可降级：推荐展示理由，查询展示指标与图表，模型不可用时核心学习和考试仍可运行。</w:t>
      </w:r>
    </w:p>
    <w:p w14:paraId="31764072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单体工程化交付：以模块化单体降低比赛环境部署复杂度，同时保持未来按业务域拆分的空间。</w:t>
      </w:r>
    </w:p>
    <w:p w14:paraId="02C0A7E5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建设目标与创新亮点</w:t>
      </w:r>
    </w:p>
    <w:p w14:paraId="551EAD93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总体目标</w:t>
      </w:r>
    </w:p>
    <w:p w14:paraId="75F1C081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建设一套可真实运行、可连续演示、可安全部署的 AI 数智党校学习系统，使党员学习从“统一推送”转向“按需推荐”，使管理分析从“人工汇总”转向“自然语言问数”，使学习评价从“单次分数”转向“多维持续改进”。</w:t>
      </w:r>
    </w:p>
    <w:p w14:paraId="67DC94AB">
      <w:pPr>
        <w:rPr>
          <w:rFonts w:ascii="微软雅黑" w:hAnsi="微软雅黑" w:eastAsia="微软雅黑" w:cs="微软雅黑"/>
        </w:rPr>
      </w:pPr>
    </w:p>
    <w:p w14:paraId="4FE96316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分目标与成果口径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900"/>
        <w:gridCol w:w="3910"/>
      </w:tblGrid>
      <w:tr w14:paraId="211AA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54E9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w="39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9909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实现内容</w:t>
            </w:r>
          </w:p>
        </w:tc>
        <w:tc>
          <w:tcPr>
            <w:tcW w:w="391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8D8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可验证结果</w:t>
            </w:r>
          </w:p>
        </w:tc>
      </w:tr>
      <w:tr w14:paraId="16E388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F61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学习在线化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86F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文章、视频、任务、进度与完成状态统一记录。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8A7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移动端可查看任务、续学并形成个人学习轨迹。</w:t>
            </w:r>
          </w:p>
        </w:tc>
      </w:tr>
      <w:tr w14:paraId="38908E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1BB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考试标准化</w:t>
            </w:r>
          </w:p>
        </w:tc>
        <w:tc>
          <w:tcPr>
            <w:tcW w:w="3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20E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题库、试卷、练习测验与正式考试分层管理。</w:t>
            </w:r>
          </w:p>
        </w:tc>
        <w:tc>
          <w:tcPr>
            <w:tcW w:w="39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006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系统按题型自动判分，记录成绩、通过状态和错题。</w:t>
            </w:r>
          </w:p>
        </w:tc>
      </w:tr>
      <w:tr w14:paraId="141AB3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BB3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管理数据化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655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支部、人员、任务、学习、成绩按统一指标汇总。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3F5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管理端可按组织和时间筛选查看关键指标。</w:t>
            </w:r>
          </w:p>
        </w:tc>
      </w:tr>
      <w:tr w14:paraId="374988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A2A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AI 场景化</w:t>
            </w:r>
          </w:p>
        </w:tc>
        <w:tc>
          <w:tcPr>
            <w:tcW w:w="3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B57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推荐、自然语言问数、综合评价接入业务链路。</w:t>
            </w:r>
          </w:p>
        </w:tc>
        <w:tc>
          <w:tcPr>
            <w:tcW w:w="39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ECD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每项 AI 输出均能回到真实内容、统计值或个人记录。</w:t>
            </w:r>
          </w:p>
        </w:tc>
      </w:tr>
      <w:tr w14:paraId="207843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E92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交付工程化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3D0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统一构建、配置、部署、健康检查和日志监控。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416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可在普通服务器或云环境完成单端口部署。</w:t>
            </w:r>
          </w:p>
        </w:tc>
      </w:tr>
    </w:tbl>
    <w:p w14:paraId="2452CE74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610D96BD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创新亮点</w:t>
      </w:r>
    </w:p>
    <w:p w14:paraId="1A1F603D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数据约束型 AI：</w:t>
      </w:r>
      <w:r>
        <w:rPr>
          <w:rFonts w:ascii="微软雅黑" w:hAnsi="微软雅黑" w:eastAsia="微软雅黑" w:cs="微软雅黑"/>
        </w:rPr>
        <w:t>先由服务端确定权限、指标和候选数据，再让模型完成理解、排序与表达，兼顾智能体验和数据可信度。</w:t>
      </w:r>
    </w:p>
    <w:p w14:paraId="27B7AC34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NL2Chart 可视问数：</w:t>
      </w:r>
      <w:r>
        <w:rPr>
          <w:rFonts w:ascii="微软雅黑" w:hAnsi="微软雅黑" w:eastAsia="微软雅黑" w:cs="微软雅黑"/>
        </w:rPr>
        <w:t>自然语言问题经 Function Calling 映射到白名单统计函数，返回文字结论与 ECharts 图表，而非只返回一段回答。</w:t>
      </w:r>
    </w:p>
    <w:p w14:paraId="50E47336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学情闭环推荐：</w:t>
      </w:r>
      <w:r>
        <w:rPr>
          <w:rFonts w:ascii="微软雅黑" w:hAnsi="微软雅黑" w:eastAsia="微软雅黑" w:cs="微软雅黑"/>
        </w:rPr>
        <w:t>把学习历史、错题类别和低分知识点共同作为推荐依据，让推荐与实际薄弱项直接关联。</w:t>
      </w:r>
    </w:p>
    <w:p w14:paraId="6021F27F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量化 + 生成式评价：</w:t>
      </w:r>
      <w:r>
        <w:rPr>
          <w:rFonts w:ascii="微软雅黑" w:hAnsi="微软雅黑" w:eastAsia="微软雅黑" w:cs="微软雅黑"/>
        </w:rPr>
        <w:t>综合评分采用透明权重，评语与建议由模型生成，既可比较又保留个性化表达。</w:t>
      </w:r>
    </w:p>
    <w:p w14:paraId="237D5D21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双端同源协同：</w:t>
      </w:r>
      <w:r>
        <w:rPr>
          <w:rFonts w:ascii="微软雅黑" w:hAnsi="微软雅黑" w:eastAsia="微软雅黑" w:cs="微软雅黑"/>
        </w:rPr>
        <w:t>同一数据底座同时支撑管理端和移动端，减少数据重复、口径不一致和部署复杂度。</w:t>
      </w:r>
    </w:p>
    <w:p w14:paraId="46E3F4FA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用户角色与业务闭环</w:t>
      </w:r>
    </w:p>
    <w:p w14:paraId="2F7F92F4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角色与职责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400"/>
        <w:gridCol w:w="3210"/>
        <w:gridCol w:w="2200"/>
      </w:tblGrid>
      <w:tr w14:paraId="4C1DF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A589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24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583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主要诉求</w:t>
            </w:r>
          </w:p>
        </w:tc>
        <w:tc>
          <w:tcPr>
            <w:tcW w:w="321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8FC2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核心能力</w:t>
            </w:r>
          </w:p>
        </w:tc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98A1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数据边界</w:t>
            </w:r>
          </w:p>
        </w:tc>
      </w:tr>
      <w:tr w14:paraId="7BCE23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92A3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系统管理员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E5E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全局配置与统筹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B7C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组织、人员、内容、考试、统计、AI 配置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976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全部组织数据</w:t>
            </w:r>
          </w:p>
        </w:tc>
      </w:tr>
      <w:tr w14:paraId="4E7DA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5832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支部书记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041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本支部执行与督导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282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本支部人员、任务、测验、统计、AI 查询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017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仅本支部</w:t>
            </w:r>
          </w:p>
        </w:tc>
      </w:tr>
      <w:tr w14:paraId="70011D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BD50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党员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BE8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便捷学习与自我提升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05B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内容学习、任务、答题、报告、消息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A71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仅本人及授权公开内容</w:t>
            </w:r>
          </w:p>
        </w:tc>
      </w:tr>
    </w:tbl>
    <w:p w14:paraId="6E9105CC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17105B79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“学—练—考—评”业务闭环</w:t>
      </w:r>
    </w:p>
    <w:p w14:paraId="6D4B071B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建资源：</w:t>
      </w:r>
      <w:r>
        <w:rPr>
          <w:rFonts w:ascii="微软雅黑" w:hAnsi="微软雅黑" w:eastAsia="微软雅黑" w:cs="微软雅黑"/>
        </w:rPr>
        <w:t>管理员维护文章、视频、题库和试卷，形成可复用的学习资源池。</w:t>
      </w:r>
    </w:p>
    <w:p w14:paraId="42345610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发任务：</w:t>
      </w:r>
      <w:r>
        <w:rPr>
          <w:rFonts w:ascii="微软雅黑" w:hAnsi="微软雅黑" w:eastAsia="微软雅黑" w:cs="微软雅黑"/>
        </w:rPr>
        <w:t>管理员或支部书记按支部、全员或指定人员发布学习任务与测验。</w:t>
      </w:r>
    </w:p>
    <w:p w14:paraId="089D1F8B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过程学：</w:t>
      </w:r>
      <w:r>
        <w:rPr>
          <w:rFonts w:ascii="微软雅黑" w:hAnsi="微软雅黑" w:eastAsia="微软雅黑" w:cs="微软雅黑"/>
        </w:rPr>
        <w:t>党员在移动端学习，系统按心跳和内容规则记录真实进度与时长。</w:t>
      </w:r>
    </w:p>
    <w:p w14:paraId="3CC2BD52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在线练考：</w:t>
      </w:r>
      <w:r>
        <w:rPr>
          <w:rFonts w:ascii="微软雅黑" w:hAnsi="微软雅黑" w:eastAsia="微软雅黑" w:cs="微软雅黑"/>
        </w:rPr>
        <w:t>练习用于巩固知识，正式考试受开始时间、结束时间和作答时长约束。</w:t>
      </w:r>
    </w:p>
    <w:p w14:paraId="07670C8E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统计分析：</w:t>
      </w:r>
      <w:r>
        <w:rPr>
          <w:rFonts w:ascii="微软雅黑" w:hAnsi="微软雅黑" w:eastAsia="微软雅黑" w:cs="微软雅黑"/>
        </w:rPr>
        <w:t>系统汇总完成率、学习时长、平均分、通过率与趋势，形成组织看板。</w:t>
      </w:r>
    </w:p>
    <w:p w14:paraId="406B5227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  <w:b/>
          <w:color w:val="62141F"/>
        </w:rPr>
        <w:t>AI 改进：</w:t>
      </w:r>
      <w:r>
        <w:rPr>
          <w:rFonts w:ascii="微软雅黑" w:hAnsi="微软雅黑" w:eastAsia="微软雅黑" w:cs="微软雅黑"/>
        </w:rPr>
        <w:t>推荐引导下一步学习，AI 报告给出改进建议，管理员通过自然语言查询定位问题。</w:t>
      </w:r>
    </w:p>
    <w:p w14:paraId="0D53F87B">
      <w:r>
        <w:br w:type="page"/>
      </w:r>
    </w:p>
    <w:p w14:paraId="1F4BC09A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总体技术架构</w:t>
      </w:r>
    </w:p>
    <w:p w14:paraId="67C9B092">
      <w:pPr>
        <w:keepNext/>
        <w:keepLines/>
        <w:spacing w:before="80" w:after="80"/>
        <w:jc w:val="center"/>
      </w:pPr>
      <w:r>
        <w:drawing>
          <wp:inline distT="0" distB="0" distL="114300" distR="114300">
            <wp:extent cx="5806440" cy="3556000"/>
            <wp:effectExtent l="0" t="0" r="10160" b="0"/>
            <wp:docPr id="1" name="Picture 1" descr="图 1  数智党校学习系统总体架构" title="图 1  数智党校学习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数智党校学习系统总体架构" title="图 1  数智党校学习系统总体架构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402F">
      <w:pPr>
        <w:pStyle w:val="15"/>
        <w:jc w:val="center"/>
      </w:pPr>
      <w:r>
        <w:rPr>
          <w:rFonts w:ascii="微软雅黑" w:hAnsi="微软雅黑" w:eastAsia="微软雅黑" w:cs="微软雅黑"/>
          <w:color w:val="666666"/>
          <w:sz w:val="18"/>
        </w:rPr>
        <w:t>图 1  数智党校学习系统总体架构</w:t>
      </w:r>
    </w:p>
    <w:p w14:paraId="7E198643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架构分层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150"/>
        <w:gridCol w:w="4760"/>
      </w:tblGrid>
      <w:tr w14:paraId="1876E2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668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w="31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5813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w="47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E49C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职责</w:t>
            </w:r>
          </w:p>
        </w:tc>
      </w:tr>
      <w:tr w14:paraId="55EFC9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58B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交互层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9B3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Vue 3 管理端、Vue 3 移动 H5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FEF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为不同角色提供差异化导航、表单、学习、答题和可视化体验。</w:t>
            </w:r>
          </w:p>
        </w:tc>
      </w:tr>
      <w:tr w14:paraId="6BBB0B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4453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接入层</w:t>
            </w:r>
          </w:p>
        </w:tc>
        <w:tc>
          <w:tcPr>
            <w:tcW w:w="31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FDD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Caddy、HTTPS、同源静态资源</w:t>
            </w:r>
          </w:p>
        </w:tc>
        <w:tc>
          <w:tcPr>
            <w:tcW w:w="47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BC4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统一域名与入口，隐藏应用端口，处理证书与反向代理。</w:t>
            </w:r>
          </w:p>
        </w:tc>
      </w:tr>
      <w:tr w14:paraId="66ED00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A8A0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应用层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459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NestJS REST API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672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承载鉴权、参数校验、业务编排、权限判断、文件上传和限流。</w:t>
            </w:r>
          </w:p>
        </w:tc>
      </w:tr>
      <w:tr w14:paraId="2356BD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CA0E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领域层</w:t>
            </w:r>
          </w:p>
        </w:tc>
        <w:tc>
          <w:tcPr>
            <w:tcW w:w="31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D8BC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组织、用户、内容、任务、题库、试卷、测验、统计、AI、消息</w:t>
            </w:r>
          </w:p>
        </w:tc>
        <w:tc>
          <w:tcPr>
            <w:tcW w:w="47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AC3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按业务域隔离代码职责，通过服务接口协同。</w:t>
            </w:r>
          </w:p>
        </w:tc>
      </w:tr>
      <w:tr w14:paraId="49A457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2322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数据层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B5C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MySQL / SQLite、Redis、文件存储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0A9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生产数据持久化、缓存与调度、视频和附件存储。</w:t>
            </w:r>
          </w:p>
        </w:tc>
      </w:tr>
      <w:tr w14:paraId="4D2B8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FC1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智能层</w:t>
            </w:r>
          </w:p>
        </w:tc>
        <w:tc>
          <w:tcPr>
            <w:tcW w:w="31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6D7C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OpenAI 兼容接口</w:t>
            </w:r>
          </w:p>
        </w:tc>
        <w:tc>
          <w:tcPr>
            <w:tcW w:w="47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9A2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完成语义理解、推荐理由、查询解释和评价文本生成。</w:t>
            </w:r>
          </w:p>
        </w:tc>
      </w:tr>
    </w:tbl>
    <w:p w14:paraId="0C5FA24C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477445F3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关键数据流</w:t>
      </w:r>
    </w:p>
    <w:p w14:paraId="6D9C88EA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学习数据流：移动端心跳上报 → 服务端校验可信增量 → 学习记录与每日增量落库 → 任务进度、统计和 AI 特征共享。</w:t>
      </w:r>
    </w:p>
    <w:p w14:paraId="580A2F7E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答题数据流：获取试卷快照 → 服务端持久化考试开始时间 → 自动/手动提交 → 服务端判分 → 错题、成绩和通过状态落库。</w:t>
      </w:r>
    </w:p>
    <w:p w14:paraId="335D1A47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AI 查询数据流：问题与用户身份 → 意图识别 → 权限范围绑定 → 白名单统计服务 → 模型总结 → 图表配置。</w:t>
      </w:r>
    </w:p>
    <w:p w14:paraId="71F95EC8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报告数据流：量化指标计算 → 综合评分 → 模型生成评语与建议 → 周期缓存 → 历史报告与通知。</w:t>
      </w:r>
    </w:p>
    <w:p w14:paraId="3804FE4C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双端功能实现方案</w:t>
      </w:r>
    </w:p>
    <w:p w14:paraId="1104EA3B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管理后台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4700"/>
        <w:gridCol w:w="3010"/>
      </w:tblGrid>
      <w:tr w14:paraId="3BF0DA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FD92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47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2B02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实现内容</w:t>
            </w:r>
          </w:p>
        </w:tc>
        <w:tc>
          <w:tcPr>
            <w:tcW w:w="301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650C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关键机制</w:t>
            </w:r>
          </w:p>
        </w:tc>
      </w:tr>
      <w:tr w14:paraId="59CFA1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DE7F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工作台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893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聚合党员数、任务与测验情况、学习时长和近期动态。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77E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指标卡 + 趋势图 + 快捷入口</w:t>
            </w:r>
          </w:p>
        </w:tc>
      </w:tr>
      <w:tr w14:paraId="43FD1B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FE9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组织架构</w:t>
            </w:r>
          </w:p>
        </w:tc>
        <w:tc>
          <w:tcPr>
            <w:tcW w:w="4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A86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创建、编辑、删除党委/总支/支部等多级节点，并查看组织统计。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227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树形组织 + 服务端层级校验</w:t>
            </w:r>
          </w:p>
        </w:tc>
      </w:tr>
      <w:tr w14:paraId="2A9135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ADC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人员管理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989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党员信息增删改查、角色分配、搜索筛选、批量导入和密码重置。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606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RBAC + 组织数据域</w:t>
            </w:r>
          </w:p>
        </w:tc>
      </w:tr>
      <w:tr w14:paraId="7A4ACE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525D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学习内容</w:t>
            </w:r>
          </w:p>
        </w:tc>
        <w:tc>
          <w:tcPr>
            <w:tcW w:w="4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E9C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文章/视频发布、分类、标签、公共属性、编辑与删除。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457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Markdown 安全渲染 + 视频上传校验</w:t>
            </w:r>
          </w:p>
        </w:tc>
      </w:tr>
      <w:tr w14:paraId="31E819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2B7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学习任务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398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按支部向全部成员或指定人员发布内容清单与截止时间。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BEE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任务—人员—内容关联</w:t>
            </w:r>
          </w:p>
        </w:tc>
      </w:tr>
      <w:tr w14:paraId="1E4FB8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16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9A3B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题库与试卷</w:t>
            </w:r>
          </w:p>
        </w:tc>
        <w:tc>
          <w:tcPr>
            <w:tcW w:w="4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F0C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维护单选、多选、判断题，支持批量导入、抽题组卷和分值配置。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56A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结构化答案 + 试卷快照</w:t>
            </w:r>
          </w:p>
        </w:tc>
      </w:tr>
      <w:tr w14:paraId="3E728C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582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测验与考试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A37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设置类型、目标支部、人员范围、考试窗口和作答时长。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6E2C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服务端计时 + 自动判分</w:t>
            </w:r>
          </w:p>
        </w:tc>
      </w:tr>
      <w:tr w14:paraId="52ACD1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F8B3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统计看板</w:t>
            </w:r>
          </w:p>
        </w:tc>
        <w:tc>
          <w:tcPr>
            <w:tcW w:w="4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66D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按组织和时间查看时长、完成率、平均分、通过率和趋势。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673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统一指标服务 + ECharts</w:t>
            </w:r>
          </w:p>
        </w:tc>
      </w:tr>
      <w:tr w14:paraId="1E4946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9EE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AI 数据查询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DDD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以自然语言查询组织学习数据，返回结论与图表。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8C3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Function Calling + 指标白名单</w:t>
            </w:r>
          </w:p>
        </w:tc>
      </w:tr>
      <w:tr w14:paraId="7D6231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231C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AI 配置</w:t>
            </w:r>
          </w:p>
        </w:tc>
        <w:tc>
          <w:tcPr>
            <w:tcW w:w="4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8D1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配置模型地址、Key、对话模型和推理模型并测试连接。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5EA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仅管理员可见，配置即时生效</w:t>
            </w:r>
          </w:p>
        </w:tc>
      </w:tr>
      <w:tr w14:paraId="54676C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7F8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8"/>
              </w:rPr>
              <w:t>消息与通知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2DA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发布通知、查看触达与已读情况，并同步到群聊。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F44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8"/>
              </w:rPr>
              <w:t>通知收件人表 + 系统消息</w:t>
            </w:r>
          </w:p>
        </w:tc>
      </w:tr>
    </w:tbl>
    <w:p w14:paraId="017CDEEC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4A2A5707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移动学习端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F50DF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0999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71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2C7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实现内容</w:t>
            </w:r>
          </w:p>
        </w:tc>
      </w:tr>
      <w:tr w14:paraId="2E9E4A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D39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登录与个人中心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A44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使用用户名密码登录，展示身份、支部、任务、报告与退出入口。</w:t>
            </w:r>
          </w:p>
        </w:tc>
      </w:tr>
      <w:tr w14:paraId="7D9890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A13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首页与推荐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ED1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展示公共/任务内容与 AI Top 5 推荐，推荐卡片附带理由。</w:t>
            </w:r>
          </w:p>
        </w:tc>
      </w:tr>
      <w:tr w14:paraId="4FB5E7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DDC2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内容学习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363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文章 Markdown 阅读、视频播放、学习进度续传和完成规则校验。</w:t>
            </w:r>
          </w:p>
        </w:tc>
      </w:tr>
      <w:tr w14:paraId="186009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8E3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学习任务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781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按截止时间查看任务、内容清单、个人完成状态和总体进度。</w:t>
            </w:r>
          </w:p>
        </w:tc>
      </w:tr>
      <w:tr w14:paraId="543620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6E3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测验考试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56C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支持三类题型、剩余时间、未答提醒、自动提交、即时判分和错题解析。</w:t>
            </w:r>
          </w:p>
        </w:tc>
      </w:tr>
      <w:tr w14:paraId="1513C6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317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AI 综合报告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735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展示综合评分、能力雷达、优势、改进项、建议和历史周报。</w:t>
            </w:r>
          </w:p>
        </w:tc>
      </w:tr>
      <w:tr w14:paraId="6E749B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9E9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消息通知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BC1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接收组织通知、报告发布提醒和群组消息，维护已读状态。</w:t>
            </w:r>
          </w:p>
        </w:tc>
      </w:tr>
    </w:tbl>
    <w:p w14:paraId="7F494E10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5D50F4FB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典型场景串联</w:t>
      </w:r>
    </w:p>
    <w:p w14:paraId="479CBD88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支部书记在后台选择本支部，发布一项包含党史文章和理论视频的学习任务。</w:t>
      </w:r>
    </w:p>
    <w:p w14:paraId="148855E7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党员收到通知，在移动端进入任务，完成文章阅读与视频学习，进度实时保存。</w:t>
      </w:r>
    </w:p>
    <w:p w14:paraId="103BCA7D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支部书记发布配套练习；党员答题后，系统即时判分并沉淀错题类别。</w:t>
      </w:r>
    </w:p>
    <w:p w14:paraId="4F608D7D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首页推荐根据错题与低分类别给出补强内容，并说明推荐理由。</w:t>
      </w:r>
    </w:p>
    <w:p w14:paraId="5D86D14C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管理员在 AI 数据查询中输入“近 30 天各支部任务完成率”，获得文字结论和柱状图。</w:t>
      </w:r>
    </w:p>
    <w:p w14:paraId="747B5274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系统生成个人周报，将量化评分、能力雷达和改进建议推送给党员。</w:t>
      </w:r>
    </w:p>
    <w:p w14:paraId="21FC3C6B">
      <w:r>
        <w:br w:type="page"/>
      </w:r>
    </w:p>
    <w:p w14:paraId="46E08503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三项核心 AI 能力实现</w:t>
      </w:r>
    </w:p>
    <w:p w14:paraId="4A2BD121">
      <w:pPr>
        <w:keepNext/>
        <w:keepLines/>
        <w:spacing w:before="80" w:after="80"/>
        <w:jc w:val="center"/>
      </w:pPr>
      <w:r>
        <w:drawing>
          <wp:inline distT="0" distB="0" distL="114300" distR="114300">
            <wp:extent cx="5806440" cy="3773805"/>
            <wp:effectExtent l="0" t="0" r="10160" b="10795"/>
            <wp:docPr id="2" name="Picture 2" descr="图 2  三项核心 AI 能力的受控实现链路" title="图 2  三项核心 AI 能力的受控实现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三项核心 AI 能力的受控实现链路" title="图 2  三项核心 AI 能力的受控实现链路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A9C">
      <w:pPr>
        <w:pStyle w:val="15"/>
        <w:jc w:val="center"/>
      </w:pPr>
      <w:r>
        <w:rPr>
          <w:rFonts w:ascii="微软雅黑" w:hAnsi="微软雅黑" w:eastAsia="微软雅黑" w:cs="微软雅黑"/>
          <w:color w:val="666666"/>
          <w:sz w:val="18"/>
        </w:rPr>
        <w:t>图 2  三项核心 AI 能力的受控实现链路</w:t>
      </w:r>
    </w:p>
    <w:p w14:paraId="0E642596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个性化学习推荐</w:t>
      </w:r>
    </w:p>
    <w:p w14:paraId="52E551A6">
      <w:pPr>
        <w:pStyle w:val="5"/>
      </w:pPr>
      <w:r>
        <w:rPr>
          <w:rFonts w:ascii="微软雅黑" w:hAnsi="微软雅黑" w:eastAsia="微软雅黑" w:cs="微软雅黑"/>
          <w:b/>
          <w:color w:val="62141F"/>
        </w:rPr>
        <w:t>输入与特征</w:t>
      </w:r>
    </w:p>
    <w:p w14:paraId="13476442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近 30 天学习内容与分类，识别已学方向和学习活跃度。</w:t>
      </w:r>
    </w:p>
    <w:p w14:paraId="3CAC1E60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测验错题所属分类，识别需要补强的知识点。</w:t>
      </w:r>
    </w:p>
    <w:p w14:paraId="038606C6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低分测验或薄弱分类，提升推荐的针对性。</w:t>
      </w:r>
    </w:p>
    <w:p w14:paraId="7F02F2F9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</w:rPr>
        <w:t>公共内容候选池与已学习记录，过滤不可见、重复或无效内容。</w:t>
      </w:r>
    </w:p>
    <w:p w14:paraId="0192C8C7">
      <w:pPr>
        <w:pStyle w:val="5"/>
      </w:pPr>
      <w:r>
        <w:rPr>
          <w:rFonts w:ascii="微软雅黑" w:hAnsi="微软雅黑" w:eastAsia="微软雅黑" w:cs="微软雅黑"/>
          <w:b/>
          <w:color w:val="62141F"/>
        </w:rPr>
        <w:t>处理流程</w:t>
      </w:r>
    </w:p>
    <w:p w14:paraId="3307898D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服务端聚合用户特征并筛选可推荐的公共内容。</w:t>
      </w:r>
    </w:p>
    <w:p w14:paraId="10842040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将候选内容和用户薄弱点以结构化提示发送给模型。</w:t>
      </w:r>
    </w:p>
    <w:p w14:paraId="7AFAEFDF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模型仅在候选集内排序，输出内容 ID、标题、分类和推荐理由。</w:t>
      </w:r>
    </w:p>
    <w:p w14:paraId="60E74684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服务端校验内容 ID、去重并截取 Top 5，结果缓存 1 小时。</w:t>
      </w:r>
    </w:p>
    <w:p w14:paraId="01F32A88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模型超时或配置缺失时返回空推荐，不阻塞普通内容加载。</w:t>
      </w:r>
    </w:p>
    <w:p w14:paraId="23660865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自然语言组织数据查询（NL2Chart）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900"/>
        <w:gridCol w:w="3010"/>
      </w:tblGrid>
      <w:tr w14:paraId="43595F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CA0D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49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5AE9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实现说明</w:t>
            </w:r>
          </w:p>
        </w:tc>
        <w:tc>
          <w:tcPr>
            <w:tcW w:w="301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340B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控制点</w:t>
            </w:r>
          </w:p>
        </w:tc>
      </w:tr>
      <w:tr w14:paraId="69C6B9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AB7E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问题理解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F56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模型通过 Function Calling 识别指标、组织和时间范围。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B81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只开放约定函数与参数枚举。</w:t>
            </w:r>
          </w:p>
        </w:tc>
      </w:tr>
      <w:tr w14:paraId="1B9A2F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BEA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权限绑定</w:t>
            </w:r>
          </w:p>
        </w:tc>
        <w:tc>
          <w:tcPr>
            <w:tcW w:w="4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E7F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服务端根据 ADMIN/SECRETARY 身份修正组织范围。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924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支部书记不可覆盖本支部限制。</w:t>
            </w:r>
          </w:p>
        </w:tc>
      </w:tr>
      <w:tr w14:paraId="403395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D3D7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真实查询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026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统计服务查询学习时长、完成率、平均分、通过率或党员数。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A14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模型不拼接 SQL、不直连数据库。</w:t>
            </w:r>
          </w:p>
        </w:tc>
      </w:tr>
      <w:tr w14:paraId="2D304E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C474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结果表达</w:t>
            </w:r>
          </w:p>
        </w:tc>
        <w:tc>
          <w:tcPr>
            <w:tcW w:w="4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3612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模型基于结构化结果生成简明结论。</w:t>
            </w:r>
          </w:p>
        </w:tc>
        <w:tc>
          <w:tcPr>
            <w:tcW w:w="301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028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禁止引入查询结果之外的数值。</w:t>
            </w:r>
          </w:p>
        </w:tc>
      </w:tr>
      <w:tr w14:paraId="7AD2E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6A14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图表生成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0BD2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后端按指标类型输出 ECharts 所需的维度和序列。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7D9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图表数值与文字结论共用同一结果集。</w:t>
            </w:r>
          </w:p>
        </w:tc>
      </w:tr>
    </w:tbl>
    <w:p w14:paraId="1AB7EB59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0B812BD8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AI 综合评价报告</w:t>
      </w:r>
    </w:p>
    <w:p w14:paraId="2A59904B">
      <w:r>
        <w:rPr>
          <w:rFonts w:ascii="微软雅黑" w:hAnsi="微软雅黑" w:eastAsia="微软雅黑" w:cs="微软雅黑"/>
        </w:rPr>
        <w:t>报告采用“量化评分 + 生成式解读”的组合方式。量化部分由服务端计算，保证不同用户和不同周期之间可比较；自然语言部分由模型根据结构化摘要生成，提供更易理解的反馈。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400"/>
        <w:gridCol w:w="3500"/>
        <w:gridCol w:w="2560"/>
      </w:tblGrid>
      <w:tr w14:paraId="63D891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829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评价维度</w:t>
            </w:r>
          </w:p>
        </w:tc>
        <w:tc>
          <w:tcPr>
            <w:tcW w:w="14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F68C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建议权重</w:t>
            </w:r>
          </w:p>
        </w:tc>
        <w:tc>
          <w:tcPr>
            <w:tcW w:w="35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DFE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w="25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EC2E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输出</w:t>
            </w:r>
          </w:p>
        </w:tc>
      </w:tr>
      <w:tr w14:paraId="07748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3AC2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学习频率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5CE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30%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7D10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学习天数、学习时长、任务完成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68A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持续性与投入度</w:t>
            </w:r>
          </w:p>
        </w:tc>
      </w:tr>
      <w:tr w14:paraId="2D78B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393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测验成绩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5C0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30%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8A12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练习测验平均分、错题情况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C8E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知识巩固程度</w:t>
            </w:r>
          </w:p>
        </w:tc>
      </w:tr>
      <w:tr w14:paraId="29C7E0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755E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考试成绩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A6B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40%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9E5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正式考试成绩与通过情况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2F0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阶段学习成效</w:t>
            </w:r>
          </w:p>
        </w:tc>
      </w:tr>
    </w:tbl>
    <w:p w14:paraId="694AB515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43F85777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按自然周聚合个人学习、测验和考试数据，形成标准化指标。</w:t>
      </w:r>
    </w:p>
    <w:p w14:paraId="575EB547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依据透明权重计算综合评分，并生成雷达图所需维度。</w:t>
      </w:r>
    </w:p>
    <w:p w14:paraId="600175FC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向模型提供统计摘要，生成总体评语、优势、待改进项和行动建议。</w:t>
      </w:r>
    </w:p>
    <w:p w14:paraId="583472B4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报告按周缓存，支持历史对比；管理员可批量生成、发布并触发通知。</w:t>
      </w:r>
    </w:p>
    <w:p w14:paraId="12FB94B8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模型治理与异常处理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07ADF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2432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w="71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B57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实现说明</w:t>
            </w:r>
          </w:p>
        </w:tc>
      </w:tr>
      <w:tr w14:paraId="52A9F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0B6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配置治理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8F7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模型 Key、地址和模型名由管理员配置，保存后测试连接并即时生效。</w:t>
            </w:r>
          </w:p>
        </w:tc>
      </w:tr>
      <w:tr w14:paraId="49EBD8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40B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输入最小化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818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仅传递完成任务所需的统计摘要、候选内容或指标结果，避免上传不必要的个人信息。</w:t>
            </w:r>
          </w:p>
        </w:tc>
      </w:tr>
      <w:tr w14:paraId="6B78B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06D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输出校验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50D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对 JSON 结构、内容 ID、枚举值和数值范围进行服务端校验。</w:t>
            </w:r>
          </w:p>
        </w:tc>
      </w:tr>
      <w:tr w14:paraId="4FB288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9E3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缓存与限流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F48C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推荐短周期缓存、报告按周缓存；对 AI 接口设置合理超时与频率限制。</w:t>
            </w:r>
          </w:p>
        </w:tc>
      </w:tr>
      <w:tr w14:paraId="0CE4E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120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失败降级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B67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AI 不可用时保留学习、任务、考试和普通统计；页面给出可理解的状态提示。</w:t>
            </w:r>
          </w:p>
        </w:tc>
      </w:tr>
    </w:tbl>
    <w:p w14:paraId="1086E722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0616CEF7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数据、指标与权限设计</w:t>
      </w:r>
    </w:p>
    <w:p w14:paraId="6594F77F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核心数据模型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4260"/>
      </w:tblGrid>
      <w:tr w14:paraId="7765CA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97CF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数据域</w:t>
            </w:r>
          </w:p>
        </w:tc>
        <w:tc>
          <w:tcPr>
            <w:tcW w:w="33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0E23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核心实体</w:t>
            </w:r>
          </w:p>
        </w:tc>
        <w:tc>
          <w:tcPr>
            <w:tcW w:w="42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7C31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主要关系</w:t>
            </w:r>
          </w:p>
        </w:tc>
      </w:tr>
      <w:tr w14:paraId="1CA06E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ABF3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组织与身份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941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组织、用户、角色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FE4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用户归属组织；角色决定操作权限，组织决定数据范围。</w:t>
            </w:r>
          </w:p>
        </w:tc>
      </w:tr>
      <w:tr w14:paraId="75864A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2E26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学习资源</w:t>
            </w:r>
          </w:p>
        </w:tc>
        <w:tc>
          <w:tcPr>
            <w:tcW w:w="33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09C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内容、分类、标签、学习记录</w:t>
            </w:r>
          </w:p>
        </w:tc>
        <w:tc>
          <w:tcPr>
            <w:tcW w:w="42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3C9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内容可公共或被任务引用；学习记录关联用户与内容。</w:t>
            </w:r>
          </w:p>
        </w:tc>
      </w:tr>
      <w:tr w14:paraId="44600D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0FAD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任务执行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C59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学习任务、任务内容、参与人员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F2A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任务按组织发布，可面向全员或指定用户。</w:t>
            </w:r>
          </w:p>
        </w:tc>
      </w:tr>
      <w:tr w14:paraId="01C248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AA70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题库考试</w:t>
            </w:r>
          </w:p>
        </w:tc>
        <w:tc>
          <w:tcPr>
            <w:tcW w:w="33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D1D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题目、试卷、试卷题目、测验、答题记录</w:t>
            </w:r>
          </w:p>
        </w:tc>
        <w:tc>
          <w:tcPr>
            <w:tcW w:w="42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304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试卷聚合题目；测验绑定试卷与时间窗口；提交记录结果。</w:t>
            </w:r>
          </w:p>
        </w:tc>
      </w:tr>
      <w:tr w14:paraId="1E8AC8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32A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智能分析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8E4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推荐缓存、AI 报告、统计日增量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8B5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由业务数据派生，用于推荐、趋势和周期报告。</w:t>
            </w:r>
          </w:p>
        </w:tc>
      </w:tr>
      <w:tr w14:paraId="4FE7A5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8901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协同触达</w:t>
            </w:r>
          </w:p>
        </w:tc>
        <w:tc>
          <w:tcPr>
            <w:tcW w:w="33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9BE2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群组、群成员、消息、通知、通知收件人</w:t>
            </w:r>
          </w:p>
        </w:tc>
        <w:tc>
          <w:tcPr>
            <w:tcW w:w="42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9C0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组织变动同步群组；通知与已读状态独立留痕。</w:t>
            </w:r>
          </w:p>
        </w:tc>
      </w:tr>
    </w:tbl>
    <w:p w14:paraId="413F2642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790EDEE6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统一指标口径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800"/>
        <w:gridCol w:w="2660"/>
      </w:tblGrid>
      <w:tr w14:paraId="38B031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C981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48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80FC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口径说明</w:t>
            </w:r>
          </w:p>
        </w:tc>
        <w:tc>
          <w:tcPr>
            <w:tcW w:w="26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3487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主要用途</w:t>
            </w:r>
          </w:p>
        </w:tc>
      </w:tr>
      <w:tr w14:paraId="2D7081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21DD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学习时长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3E2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按服务端观察到的可信心跳增量累计，避免单次上报任意大数。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76B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个人投入、组织趋势、报告特征</w:t>
            </w:r>
          </w:p>
        </w:tc>
      </w:tr>
      <w:tr w14:paraId="7D8DDC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6610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任务完成率</w:t>
            </w:r>
          </w:p>
        </w:tc>
        <w:tc>
          <w:tcPr>
            <w:tcW w:w="48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18FC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任务中已完成内容数 / 任务内容总数；组织口径再按参与人汇总。</w:t>
            </w:r>
          </w:p>
        </w:tc>
        <w:tc>
          <w:tcPr>
            <w:tcW w:w="26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CDE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督学、看板、自然语言查询</w:t>
            </w:r>
          </w:p>
        </w:tc>
      </w:tr>
      <w:tr w14:paraId="5FA1C8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23C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测验平均分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37F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指定时间和组织范围内已提交练习的平均得分。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0AF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薄弱点识别、组织对比</w:t>
            </w:r>
          </w:p>
        </w:tc>
      </w:tr>
      <w:tr w14:paraId="7A05F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F69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考试通过率</w:t>
            </w:r>
          </w:p>
        </w:tc>
        <w:tc>
          <w:tcPr>
            <w:tcW w:w="48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C22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正式考试中达到试卷通过线的人数 / 已参加人数。</w:t>
            </w:r>
          </w:p>
        </w:tc>
        <w:tc>
          <w:tcPr>
            <w:tcW w:w="26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AA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阶段学习成效</w:t>
            </w:r>
          </w:p>
        </w:tc>
      </w:tr>
      <w:tr w14:paraId="1B8E87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B572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学习活跃度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281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基于有效学习天数、时长、任务和答题行为综合观察。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BE7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排名、推荐、综合评价</w:t>
            </w:r>
          </w:p>
        </w:tc>
      </w:tr>
    </w:tbl>
    <w:p w14:paraId="7E1CBC54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2166E927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权限控制</w:t>
      </w:r>
    </w:p>
    <w:p w14:paraId="6D2A525E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认证：</w:t>
      </w:r>
      <w:r>
        <w:rPr>
          <w:rFonts w:ascii="微软雅黑" w:hAnsi="微软雅黑" w:eastAsia="微软雅黑" w:cs="微软雅黑"/>
        </w:rPr>
        <w:t>访问令牌与刷新令牌通过 HttpOnly Cookie 维护，敏感令牌不暴露给前端脚本。</w:t>
      </w:r>
    </w:p>
    <w:p w14:paraId="37F3F21E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授权：</w:t>
      </w:r>
      <w:r>
        <w:rPr>
          <w:rFonts w:ascii="微软雅黑" w:hAnsi="微软雅黑" w:eastAsia="微软雅黑" w:cs="微软雅黑"/>
        </w:rPr>
        <w:t>Guard 完成角色检查，服务层继续校验组织归属和数据对象范围。</w:t>
      </w:r>
    </w:p>
    <w:p w14:paraId="7A6B2988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数据域：</w:t>
      </w:r>
      <w:r>
        <w:rPr>
          <w:rFonts w:ascii="微软雅黑" w:hAnsi="微软雅黑" w:eastAsia="微软雅黑" w:cs="微软雅黑"/>
        </w:rPr>
        <w:t>支部书记查询、统计、任务、测验、报告和 AI 问数均强制限定本支部。</w:t>
      </w:r>
    </w:p>
    <w:p w14:paraId="22CFB083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生命周期：</w:t>
      </w:r>
      <w:r>
        <w:rPr>
          <w:rFonts w:ascii="微软雅黑" w:hAnsi="微软雅黑" w:eastAsia="微软雅黑" w:cs="微软雅黑"/>
        </w:rPr>
        <w:t>修改密码、后台重置密码、角色或组织变化后使旧令牌失效。</w:t>
      </w:r>
    </w:p>
    <w:p w14:paraId="2F864162">
      <w:pPr>
        <w:pStyle w:val="168"/>
        <w:numPr>
          <w:ilvl w:val="0"/>
          <w:numId w:val="7"/>
        </w:numPr>
      </w:pPr>
      <w:r>
        <w:rPr>
          <w:rFonts w:ascii="微软雅黑" w:hAnsi="微软雅黑" w:eastAsia="微软雅黑" w:cs="微软雅黑"/>
          <w:b/>
          <w:color w:val="62141F"/>
        </w:rPr>
        <w:t>首次登录：</w:t>
      </w:r>
      <w:r>
        <w:rPr>
          <w:rFonts w:ascii="微软雅黑" w:hAnsi="微软雅黑" w:eastAsia="微软雅黑" w:cs="微软雅黑"/>
        </w:rPr>
        <w:t>种子账号首次登录强制修改密码，生产密码通过环境配置注入。</w:t>
      </w:r>
    </w:p>
    <w:p w14:paraId="69DD80E7">
      <w:pPr>
        <w:pStyle w:val="3"/>
      </w:pPr>
      <w:r>
        <w:rPr>
          <w:rFonts w:ascii="微软雅黑" w:hAnsi="微软雅黑" w:eastAsia="微软雅黑" w:cs="微软雅黑"/>
          <w:b/>
          <w:color w:val="8B1E2D"/>
        </w:rPr>
        <w:t>工程实现与部署方案</w:t>
      </w:r>
    </w:p>
    <w:p w14:paraId="6778C6CA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技术栈与代码组织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600"/>
        <w:gridCol w:w="4060"/>
      </w:tblGrid>
      <w:tr w14:paraId="2A932E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D516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w="36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C196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技术选型</w:t>
            </w:r>
          </w:p>
        </w:tc>
        <w:tc>
          <w:tcPr>
            <w:tcW w:w="40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B527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实现价值</w:t>
            </w:r>
          </w:p>
        </w:tc>
      </w:tr>
      <w:tr w14:paraId="39B66B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736F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服务端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F4B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NestJS 10、TypeScript、Prisma 5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836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模块化领域组织、DTO 校验、可维护的数据访问层。</w:t>
            </w:r>
          </w:p>
        </w:tc>
      </w:tr>
      <w:tr w14:paraId="1722FD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0815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管理端</w:t>
            </w:r>
          </w:p>
        </w:tc>
        <w:tc>
          <w:tcPr>
            <w:tcW w:w="36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3CB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Vue 3、Vite、Pinia、Element Plus、ECharts</w:t>
            </w:r>
          </w:p>
        </w:tc>
        <w:tc>
          <w:tcPr>
            <w:tcW w:w="40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D45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适合复杂表格、表单、组织树和统计看板。</w:t>
            </w:r>
          </w:p>
        </w:tc>
      </w:tr>
      <w:tr w14:paraId="18B55A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B933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移动端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262D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Vue 3、Vite、Pinia、Vant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8A3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适配手机浏览器，兼顾学习、答题和报告展示。</w:t>
            </w:r>
          </w:p>
        </w:tc>
      </w:tr>
      <w:tr w14:paraId="65BC3C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5BFC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共享层</w:t>
            </w:r>
          </w:p>
        </w:tc>
        <w:tc>
          <w:tcPr>
            <w:tcW w:w="36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600A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pnpm workspace + shared 包</w:t>
            </w:r>
          </w:p>
        </w:tc>
        <w:tc>
          <w:tcPr>
            <w:tcW w:w="40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5606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共享 DTO、枚举和接口，减少双端与后端口径漂移。</w:t>
            </w:r>
          </w:p>
        </w:tc>
      </w:tr>
      <w:tr w14:paraId="251F46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75F9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数据层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EA63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MySQL 8（生产）/ SQLite（本地）、Redis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034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本地低门槛启动，生产支持事务、缓存和调度。</w:t>
            </w:r>
          </w:p>
        </w:tc>
      </w:tr>
      <w:tr w14:paraId="6456AF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FE20">
            <w:pPr>
              <w:pStyle w:val="166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AI 接入</w:t>
            </w:r>
          </w:p>
        </w:tc>
        <w:tc>
          <w:tcPr>
            <w:tcW w:w="36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00B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OpenAI 兼容 SDK + DeepSeek</w:t>
            </w:r>
          </w:p>
        </w:tc>
        <w:tc>
          <w:tcPr>
            <w:tcW w:w="40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7C1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统一对话与 Function Calling 调用方式，可替换兼容模型。</w:t>
            </w:r>
          </w:p>
        </w:tc>
      </w:tr>
    </w:tbl>
    <w:p w14:paraId="4798B62B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224D7612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关键工程机制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FA433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220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ADA8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w="7160" w:type="dxa"/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9D8D">
            <w:pPr>
              <w:pStyle w:val="167"/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实现说明</w:t>
            </w:r>
          </w:p>
        </w:tc>
      </w:tr>
      <w:tr w14:paraId="2BD1AE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7B6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Monorepo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010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server、admin、mobile、shared 同仓管理，统一依赖、构建和类型契约。</w:t>
            </w:r>
          </w:p>
        </w:tc>
      </w:tr>
      <w:tr w14:paraId="5B73A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EC84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单端口交付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A7AF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生产由 NestJS 同时承载 API 与前端构建产物，Caddy 仅开放 80/443。</w:t>
            </w:r>
          </w:p>
        </w:tc>
      </w:tr>
      <w:tr w14:paraId="379B44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185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数据库迁移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5869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本地使用 SQLite 提升开发效率，生产使用 MySQL Schema 与 Prisma Migrate 管理演进。</w:t>
            </w:r>
          </w:p>
        </w:tc>
      </w:tr>
      <w:tr w14:paraId="168CF1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1075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文件安全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8C58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上传同时校验扩展名、文件头、大小和解压后体积，上传目录与发布目录分离。</w:t>
            </w:r>
          </w:p>
        </w:tc>
      </w:tr>
      <w:tr w14:paraId="0BBD5C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FEBE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缓存策略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E58B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Redis 承担推荐缓存、报告调度状态和热点数据辅助；不可用时应用提供可诊断状态。</w:t>
            </w:r>
          </w:p>
        </w:tc>
      </w:tr>
      <w:tr w14:paraId="79B9A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E587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/>
                <w:color w:val="62141F"/>
                <w:sz w:val="19"/>
              </w:rPr>
              <w:t>可观测性</w:t>
            </w:r>
          </w:p>
        </w:tc>
        <w:tc>
          <w:tcPr>
            <w:tcW w:w="7160" w:type="dxa"/>
            <w:shd w:val="clear" w:color="auto" w:fill="F4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FBE1">
            <w:pPr>
              <w:pStyle w:val="166"/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52525"/>
                <w:sz w:val="19"/>
              </w:rPr>
              <w:t>健康检查同时反映应用、数据库和 Redis 状态；日志避免输出密钥、Cookie 和连接串。</w:t>
            </w:r>
          </w:p>
        </w:tc>
      </w:tr>
    </w:tbl>
    <w:p w14:paraId="5E08D608">
      <w:pPr>
        <w:spacing w:before="0" w:after="0" w:line="100" w:lineRule="exact"/>
      </w:pPr>
      <w:r>
        <w:rPr>
          <w:rFonts w:ascii="微软雅黑" w:hAnsi="微软雅黑" w:eastAsia="微软雅黑" w:cs="微软雅黑"/>
          <w:color w:val="FFFFFF"/>
          <w:sz w:val="2"/>
        </w:rPr>
        <w:t xml:space="preserve"> </w:t>
      </w:r>
    </w:p>
    <w:p w14:paraId="10AE3CC7">
      <w:pPr>
        <w:pStyle w:val="4"/>
      </w:pPr>
      <w:r>
        <w:rPr>
          <w:rFonts w:ascii="微软雅黑" w:hAnsi="微软雅黑" w:eastAsia="微软雅黑" w:cs="微软雅黑"/>
          <w:b/>
          <w:color w:val="8B1E2D"/>
        </w:rPr>
        <w:t>生产部署拓扑</w:t>
      </w:r>
    </w:p>
    <w:p w14:paraId="30394F8D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用户通过 HTTPS 访问统一域名，Caddy 负责证书、HTTP 跳转和反向代理。</w:t>
      </w:r>
    </w:p>
    <w:p w14:paraId="45ED3990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应用进程由 PM2 托管，仅监听 127.0.0.1:3000，不直接暴露公网。</w:t>
      </w:r>
    </w:p>
    <w:p w14:paraId="2AA471C8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MySQL 与 Redis 通过私网连接，公网安全组不开放 3000、3306、6379。</w:t>
      </w:r>
    </w:p>
    <w:p w14:paraId="158E4A70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发布采用独立 release 目录，上传文件和环境配置放在外部持久化目录。</w:t>
      </w:r>
    </w:p>
    <w:p w14:paraId="1922FE3C">
      <w:pPr>
        <w:pStyle w:val="169"/>
        <w:numPr>
          <w:ilvl w:val="0"/>
          <w:numId w:val="8"/>
        </w:numPr>
      </w:pPr>
      <w:r>
        <w:rPr>
          <w:rFonts w:ascii="微软雅黑" w:hAnsi="微软雅黑" w:eastAsia="微软雅黑" w:cs="微软雅黑"/>
        </w:rPr>
        <w:t>发布前备份数据库，发布后进行健康检查、三角色冒烟测试和重启恢复验证。</w:t>
      </w:r>
    </w:p>
    <w:p w14:paraId="6E2003E3">
      <w:pPr>
        <w:pStyle w:val="168"/>
        <w:numPr>
          <w:ilvl w:val="0"/>
          <w:numId w:val="0"/>
        </w:numPr>
        <w:ind w:left="261" w:leftChars="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D994">
    <w:pPr>
      <w:pStyle w:val="24"/>
      <w:spacing w:before="0"/>
      <w:jc w:val="center"/>
    </w:pPr>
    <w:r>
      <w:rPr>
        <w:rFonts w:ascii="微软雅黑" w:hAnsi="微软雅黑" w:eastAsia="微软雅黑" w:cs="微软雅黑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 w:cs="微软雅黑"/>
        <w:color w:val="666666"/>
        <w:sz w:val="18"/>
      </w:rPr>
      <w:t>1</w:t>
    </w:r>
    <w:r>
      <w:rPr>
        <w:rFonts w:ascii="微软雅黑" w:hAnsi="微软雅黑" w:eastAsia="微软雅黑" w:cs="微软雅黑"/>
        <w:color w:val="666666"/>
        <w:sz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8831F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122D1">
    <w:pPr>
      <w:pStyle w:val="25"/>
      <w:spacing w:after="0"/>
      <w:jc w:val="left"/>
    </w:pPr>
    <w:r>
      <w:rPr>
        <w:rFonts w:ascii="微软雅黑" w:hAnsi="微软雅黑" w:eastAsia="微软雅黑" w:cs="微软雅黑"/>
        <w:color w:val="666666"/>
        <w:sz w:val="17"/>
      </w:rPr>
      <w:t>A08  |  基于 AI 的数智党校学习系统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E1CB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9"/>
      </w:pPr>
      <w:rPr>
        <w:rFonts w:ascii="微软雅黑" w:hAnsi="微软雅黑" w:eastAsia="微软雅黑" w:cs="微软雅黑"/>
        <w:color w:val="8B1E2D"/>
      </w:rPr>
    </w:lvl>
    <w:lvl w:ilvl="1" w:tentative="0">
      <w:start w:val="1"/>
      <w:numFmt w:val="decimal"/>
      <w:lvlText w:val="%2."/>
      <w:lvlJc w:val="left"/>
      <w:pPr>
        <w:tabs>
          <w:tab w:val="left" w:pos="900"/>
        </w:tabs>
        <w:ind w:left="900" w:hanging="279"/>
      </w:pPr>
      <w:rPr>
        <w:rFonts w:ascii="微软雅黑" w:hAnsi="微软雅黑" w:eastAsia="微软雅黑" w:cs="微软雅黑"/>
        <w:color w:val="8B1E2D"/>
      </w:r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279"/>
      </w:pPr>
      <w:rPr>
        <w:rFonts w:ascii="微软雅黑" w:hAnsi="微软雅黑" w:eastAsia="微软雅黑" w:cs="微软雅黑"/>
        <w:color w:val="8B1E2D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9"/>
      </w:pPr>
      <w:rPr>
        <w:rFonts w:ascii="微软雅黑" w:hAnsi="微软雅黑" w:eastAsia="微软雅黑" w:cs="微软雅黑"/>
        <w:color w:val="8B1E2D"/>
      </w:rPr>
    </w:lvl>
    <w:lvl w:ilvl="1" w:tentative="0">
      <w:start w:val="1"/>
      <w:numFmt w:val="bullet"/>
      <w:lvlText w:val="•"/>
      <w:lvlJc w:val="left"/>
      <w:pPr>
        <w:tabs>
          <w:tab w:val="left" w:pos="900"/>
        </w:tabs>
        <w:ind w:left="900" w:hanging="279"/>
      </w:pPr>
      <w:rPr>
        <w:rFonts w:ascii="微软雅黑" w:hAnsi="微软雅黑" w:eastAsia="微软雅黑" w:cs="微软雅黑"/>
        <w:color w:val="8B1E2D"/>
      </w:rPr>
    </w:lvl>
    <w:lvl w:ilvl="2" w:tentative="0">
      <w:start w:val="1"/>
      <w:numFmt w:val="bullet"/>
      <w:lvlText w:val="•"/>
      <w:lvlJc w:val="left"/>
      <w:pPr>
        <w:tabs>
          <w:tab w:val="left" w:pos="1260"/>
        </w:tabs>
        <w:ind w:left="1260" w:hanging="279"/>
      </w:pPr>
      <w:rPr>
        <w:rFonts w:ascii="微软雅黑" w:hAnsi="微软雅黑" w:eastAsia="微软雅黑" w:cs="微软雅黑"/>
        <w:color w:val="8B1E2D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0614B"/>
    <w:rsid w:val="4BAE2800"/>
    <w:rsid w:val="790B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60" w:line="320" w:lineRule="auto"/>
      <w:jc w:val="both"/>
    </w:pPr>
    <w:rPr>
      <w:rFonts w:ascii="微软雅黑" w:hAnsi="微软雅黑" w:eastAsia="微软雅黑" w:cs="微软雅黑"/>
      <w:color w:val="25252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8B1E2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8B1E2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62141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0" w:after="160" w:line="264" w:lineRule="auto"/>
    </w:pPr>
    <w:rPr>
      <w:rFonts w:ascii="微软雅黑" w:hAnsi="微软雅黑" w:eastAsia="微软雅黑" w:cs="微软雅黑"/>
      <w:bCs/>
      <w:color w:val="666666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/>
      <w:jc w:val="center"/>
    </w:pPr>
    <w:rPr>
      <w:rFonts w:asciiTheme="majorHAnsi" w:hAnsiTheme="majorHAnsi" w:eastAsiaTheme="majorEastAsia" w:cstheme="majorBidi"/>
      <w:i/>
      <w:iCs/>
      <w:color w:val="666666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  <w:jc w:val="center"/>
    </w:pPr>
    <w:rPr>
      <w:rFonts w:asciiTheme="majorHAnsi" w:hAnsiTheme="majorHAnsi" w:eastAsiaTheme="majorEastAsia" w:cstheme="majorBidi"/>
      <w:b/>
      <w:color w:val="62141F"/>
      <w:spacing w:val="5"/>
      <w:kern w:val="28"/>
      <w:sz w:val="5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Kicker"/>
    <w:uiPriority w:val="0"/>
    <w:pPr>
      <w:spacing w:before="0" w:after="240" w:line="276" w:lineRule="auto"/>
      <w:jc w:val="center"/>
    </w:pPr>
    <w:rPr>
      <w:rFonts w:ascii="微软雅黑" w:hAnsi="微软雅黑" w:eastAsia="微软雅黑" w:cs="微软雅黑"/>
      <w:b/>
      <w:color w:val="C79A2B"/>
      <w:sz w:val="21"/>
      <w:szCs w:val="22"/>
      <w:lang w:val="en-US" w:eastAsia="en-US" w:bidi="ar-SA"/>
    </w:rPr>
  </w:style>
  <w:style w:type="paragraph" w:customStyle="1" w:styleId="165">
    <w:name w:val="Lead"/>
    <w:uiPriority w:val="0"/>
    <w:pPr>
      <w:widowControl/>
      <w:spacing w:before="0" w:after="200" w:line="300" w:lineRule="auto"/>
    </w:pPr>
    <w:rPr>
      <w:rFonts w:ascii="微软雅黑" w:hAnsi="微软雅黑" w:eastAsia="微软雅黑" w:cs="微软雅黑"/>
      <w:color w:val="62141F"/>
      <w:sz w:val="24"/>
      <w:szCs w:val="22"/>
      <w:lang w:val="en-US" w:eastAsia="en-US" w:bidi="ar-SA"/>
    </w:rPr>
  </w:style>
  <w:style w:type="paragraph" w:customStyle="1" w:styleId="166">
    <w:name w:val="Table Text"/>
    <w:uiPriority w:val="0"/>
    <w:pPr>
      <w:widowControl/>
      <w:spacing w:before="0" w:after="40" w:line="276" w:lineRule="auto"/>
    </w:pPr>
    <w:rPr>
      <w:rFonts w:ascii="微软雅黑" w:hAnsi="微软雅黑" w:eastAsia="微软雅黑" w:cs="微软雅黑"/>
      <w:color w:val="252525"/>
      <w:sz w:val="19"/>
      <w:szCs w:val="22"/>
      <w:lang w:val="en-US" w:eastAsia="en-US" w:bidi="ar-SA"/>
    </w:rPr>
  </w:style>
  <w:style w:type="paragraph" w:customStyle="1" w:styleId="167">
    <w:name w:val="Table Header"/>
    <w:uiPriority w:val="0"/>
    <w:pPr>
      <w:widowControl/>
      <w:spacing w:before="0" w:after="40" w:line="264" w:lineRule="auto"/>
    </w:pPr>
    <w:rPr>
      <w:rFonts w:ascii="微软雅黑" w:hAnsi="微软雅黑" w:eastAsia="微软雅黑" w:cs="微软雅黑"/>
      <w:b/>
      <w:color w:val="FFFFFF"/>
      <w:sz w:val="19"/>
      <w:szCs w:val="22"/>
      <w:lang w:val="en-US" w:eastAsia="en-US" w:bidi="ar-SA"/>
    </w:rPr>
  </w:style>
  <w:style w:type="paragraph" w:customStyle="1" w:styleId="168">
    <w:name w:val="BulletList"/>
    <w:uiPriority w:val="0"/>
    <w:pPr>
      <w:widowControl/>
      <w:spacing w:before="0" w:after="80" w:line="290" w:lineRule="auto"/>
    </w:pPr>
    <w:rPr>
      <w:rFonts w:ascii="微软雅黑" w:hAnsi="微软雅黑" w:eastAsia="微软雅黑" w:cs="微软雅黑"/>
      <w:color w:val="252525"/>
      <w:sz w:val="22"/>
      <w:szCs w:val="22"/>
      <w:lang w:val="en-US" w:eastAsia="en-US" w:bidi="ar-SA"/>
    </w:rPr>
  </w:style>
  <w:style w:type="paragraph" w:customStyle="1" w:styleId="169">
    <w:name w:val="NumberedList"/>
    <w:uiPriority w:val="0"/>
    <w:pPr>
      <w:widowControl/>
      <w:spacing w:before="0" w:after="80" w:line="290" w:lineRule="auto"/>
    </w:pPr>
    <w:rPr>
      <w:rFonts w:ascii="微软雅黑" w:hAnsi="微软雅黑" w:eastAsia="微软雅黑" w:cs="微软雅黑"/>
      <w:color w:val="252525"/>
      <w:sz w:val="22"/>
      <w:szCs w:val="22"/>
      <w:lang w:val="en-US" w:eastAsia="en-US" w:bidi="ar-SA"/>
    </w:rPr>
  </w:style>
  <w:style w:type="paragraph" w:customStyle="1" w:styleId="170">
    <w:name w:val="Small Note"/>
    <w:uiPriority w:val="0"/>
    <w:pPr>
      <w:widowControl/>
      <w:spacing w:before="0" w:after="80" w:line="276" w:lineRule="auto"/>
    </w:pPr>
    <w:rPr>
      <w:rFonts w:ascii="微软雅黑" w:hAnsi="微软雅黑" w:eastAsia="微软雅黑" w:cs="微软雅黑"/>
      <w:color w:val="666666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5519</Words>
  <Characters>6019</Characters>
  <Lines>0</Lines>
  <Paragraphs>0</Paragraphs>
  <TotalTime>3</TotalTime>
  <ScaleCrop>false</ScaleCrop>
  <LinksUpToDate>false</LinksUpToDate>
  <CharactersWithSpaces>6285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A08 项目团队</dc:creator>
  <dc:description>依据赛题资料与当前项目实现编制</dc:description>
  <cp:keywords>数智党校, AI, 学习系统, 比赛方案, DeepSeek, Vue, NestJS</cp:keywords>
  <cp:lastModifiedBy>徐磊</cp:lastModifiedBy>
  <dcterms:modified xsi:type="dcterms:W3CDTF">2026-08-15T06:10:36Z</dcterms:modified>
  <dc:subject>A08 智能计算应用类比赛方案</dc:subject>
  <dc:title>基于 AI 的数智党校学习系统——比赛方案计划书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eyJoZGlkIjoiOTEzOWExMGMyMmJjMmRjNmJiM2NiOWYxM2I2Yjg2ZDciLCJ1c2VySWQiOiIxNzQxMDY3NzYxIn0=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F9576AA2F39B49B48DEF89BA883DFC26_13</vt:lpwstr>
  </property>
</Properties>
</file>