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本发明涉及生物医用材料技术领域。剂量为 20 mg。</w:t>
      </w:r>
    </w:p>
    <w:p>
      <w:r>
        <w:t>实施例1采用 250 mg 剂量。</w:t>
      </w:r>
    </w:p>
    <w:p>
      <w:r>
        <w:t>The quick brown fox.</w:t>
      </w:r>
    </w:p>
    <w:p>
      <w:r>
        <w:t>结束段落。</w:t>
      </w:r>
    </w:p>
    <w:p>
      <w:r>
        <w:t>ABC denotes the control group.</w:t>
      </w:r>
    </w:p>
    <w:p>
      <w:r>
        <w:t>重复句子内容 重复句子内容。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