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226" w:rsidRPr="00B7587F" w:rsidRDefault="00F23226" w:rsidP="002D0D26">
      <w:pPr>
        <w:pStyle w:val="ListParagraph"/>
        <w:numPr>
          <w:ilvl w:val="0"/>
          <w:numId w:val="5"/>
        </w:numPr>
        <w:spacing w:after="0" w:line="240" w:lineRule="auto"/>
        <w:textAlignment w:val="baseline"/>
        <w:rPr>
          <w:rFonts w:ascii="Century Gothic" w:eastAsia="Times New Roman" w:hAnsi="Century Gothic" w:cs="Arial"/>
          <w:color w:val="000000"/>
          <w:sz w:val="24"/>
          <w:szCs w:val="24"/>
          <w:lang w:eastAsia="en-IN"/>
        </w:rPr>
      </w:pPr>
      <w:r w:rsidRPr="00B7587F">
        <w:rPr>
          <w:rFonts w:ascii="Century Gothic" w:eastAsia="Times New Roman" w:hAnsi="Century Gothic" w:cs="Arial"/>
          <w:color w:val="000000"/>
          <w:sz w:val="24"/>
          <w:szCs w:val="24"/>
          <w:shd w:val="clear" w:color="auto" w:fill="FFFFFF"/>
          <w:lang w:eastAsia="en-IN"/>
        </w:rPr>
        <w:t>Are lump sum death benefits taxed?</w:t>
      </w:r>
    </w:p>
    <w:p w:rsidR="00F23226" w:rsidRPr="00F23226" w:rsidRDefault="00F23226" w:rsidP="00F23226">
      <w:p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Arial"/>
          <w:color w:val="000000"/>
          <w:sz w:val="24"/>
          <w:szCs w:val="24"/>
          <w:shd w:val="clear" w:color="auto" w:fill="FFFFFF"/>
          <w:lang w:eastAsia="en-IN"/>
        </w:rPr>
        <w:tab/>
      </w:r>
      <w:r w:rsidRPr="00F23226">
        <w:rPr>
          <w:rFonts w:ascii="Century Gothic" w:eastAsia="Times New Roman" w:hAnsi="Century Gothic" w:cs="Arial"/>
          <w:color w:val="000000"/>
          <w:sz w:val="24"/>
          <w:szCs w:val="24"/>
          <w:shd w:val="clear" w:color="auto" w:fill="FFFFFF"/>
          <w:lang w:eastAsia="en-IN"/>
        </w:rPr>
        <w:t>The taxable portion of the Basic Death Benefit, Retired Death Benefit, Option 1 balance, and Temporary Annuity balance is subject to a mandatory 20 percent federal tax withholding rate.</w:t>
      </w:r>
    </w:p>
    <w:p w:rsidR="00F23226" w:rsidRPr="00F23226" w:rsidRDefault="00F23226" w:rsidP="00F23226">
      <w:pPr>
        <w:spacing w:after="180" w:line="240" w:lineRule="auto"/>
        <w:rPr>
          <w:rFonts w:ascii="Century Gothic" w:eastAsia="Times New Roman" w:hAnsi="Century Gothic" w:cs="Times New Roman"/>
          <w:sz w:val="24"/>
          <w:szCs w:val="24"/>
          <w:lang w:eastAsia="en-IN"/>
        </w:rPr>
      </w:pPr>
      <w:r w:rsidRPr="00F23226">
        <w:rPr>
          <w:rFonts w:ascii="Century Gothic" w:eastAsia="Times New Roman" w:hAnsi="Century Gothic" w:cs="Arial"/>
          <w:color w:val="000000"/>
          <w:sz w:val="24"/>
          <w:szCs w:val="24"/>
          <w:shd w:val="clear" w:color="auto" w:fill="FFFFFF"/>
          <w:lang w:eastAsia="en-IN"/>
        </w:rPr>
        <w:t>The taxable portion of the lump sum death benefit can be rolled over to an individual retirement account (IRA) to avoid federal income tax withholding. Spouses can rollover to a traditional IRA and non-spouse beneficiaries can roll over to an inherited IRA.</w:t>
      </w:r>
    </w:p>
    <w:p w:rsidR="00F23226" w:rsidRPr="00F23226" w:rsidRDefault="00F23226" w:rsidP="00F23226">
      <w:pPr>
        <w:spacing w:after="180" w:line="240" w:lineRule="auto"/>
        <w:rPr>
          <w:rFonts w:ascii="Century Gothic" w:eastAsia="Times New Roman" w:hAnsi="Century Gothic" w:cs="Times New Roman"/>
          <w:sz w:val="24"/>
          <w:szCs w:val="24"/>
          <w:lang w:eastAsia="en-IN"/>
        </w:rPr>
      </w:pPr>
      <w:r w:rsidRPr="00F23226">
        <w:rPr>
          <w:rFonts w:ascii="Century Gothic" w:eastAsia="Times New Roman" w:hAnsi="Century Gothic" w:cs="Arial"/>
          <w:color w:val="000000"/>
          <w:sz w:val="24"/>
          <w:szCs w:val="24"/>
          <w:shd w:val="clear" w:color="auto" w:fill="FFFFFF"/>
          <w:lang w:eastAsia="en-IN"/>
        </w:rPr>
        <w:t>If you received a benefit, we'll mail you a Form 1099R at the beginning of the year that lists the amount you were paid in the previous tax year. You're responsible for reporting the benefit to the IRS with your personal income taxes.</w:t>
      </w:r>
    </w:p>
    <w:p w:rsidR="00F23226" w:rsidRPr="00B7587F" w:rsidRDefault="00D85B68" w:rsidP="00D85B68">
      <w:pPr>
        <w:pStyle w:val="ListParagraph"/>
        <w:numPr>
          <w:ilvl w:val="0"/>
          <w:numId w:val="5"/>
        </w:num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Times New Roman"/>
          <w:sz w:val="24"/>
          <w:szCs w:val="24"/>
          <w:lang w:eastAsia="en-IN"/>
        </w:rPr>
        <w:t xml:space="preserve"> </w:t>
      </w:r>
      <w:r w:rsidR="00F23226" w:rsidRPr="00B7587F">
        <w:rPr>
          <w:rFonts w:ascii="Century Gothic" w:eastAsia="Times New Roman" w:hAnsi="Century Gothic" w:cs="Arial"/>
          <w:color w:val="000000"/>
          <w:sz w:val="24"/>
          <w:szCs w:val="24"/>
          <w:shd w:val="clear" w:color="auto" w:fill="FFFFFF"/>
          <w:lang w:eastAsia="en-IN"/>
        </w:rPr>
        <w:t>When will the beneficiary receive payment of the lump sum death benefit?</w:t>
      </w:r>
    </w:p>
    <w:p w:rsidR="00F23226" w:rsidRPr="00F23226" w:rsidRDefault="00F23226" w:rsidP="00F23226">
      <w:p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Arial"/>
          <w:color w:val="000000"/>
          <w:sz w:val="24"/>
          <w:szCs w:val="24"/>
          <w:shd w:val="clear" w:color="auto" w:fill="FFFFFF"/>
          <w:lang w:eastAsia="en-IN"/>
        </w:rPr>
        <w:tab/>
      </w:r>
      <w:r w:rsidRPr="00F23226">
        <w:rPr>
          <w:rFonts w:ascii="Century Gothic" w:eastAsia="Times New Roman" w:hAnsi="Century Gothic" w:cs="Arial"/>
          <w:color w:val="000000"/>
          <w:sz w:val="24"/>
          <w:szCs w:val="24"/>
          <w:shd w:val="clear" w:color="auto" w:fill="FFFFFF"/>
          <w:lang w:eastAsia="en-IN"/>
        </w:rPr>
        <w:t>Payment is usually issued within 8 to 12 weeks after we receive all the required documents, including the final payroll form from the member's employer and the beneficiary's completed death claim application.</w:t>
      </w:r>
    </w:p>
    <w:p w:rsidR="00F23226" w:rsidRPr="00F23226" w:rsidRDefault="00F23226" w:rsidP="00F23226">
      <w:pPr>
        <w:spacing w:after="0" w:line="240" w:lineRule="auto"/>
        <w:rPr>
          <w:rFonts w:ascii="Century Gothic" w:eastAsia="Times New Roman" w:hAnsi="Century Gothic" w:cs="Times New Roman"/>
          <w:sz w:val="24"/>
          <w:szCs w:val="24"/>
          <w:lang w:eastAsia="en-IN"/>
        </w:rPr>
      </w:pPr>
    </w:p>
    <w:p w:rsidR="00F23226" w:rsidRPr="00B7587F" w:rsidRDefault="00F23226" w:rsidP="00D85B68">
      <w:pPr>
        <w:pStyle w:val="ListParagraph"/>
        <w:numPr>
          <w:ilvl w:val="0"/>
          <w:numId w:val="5"/>
        </w:numPr>
        <w:spacing w:after="0" w:line="240" w:lineRule="auto"/>
        <w:textAlignment w:val="baseline"/>
        <w:rPr>
          <w:rFonts w:ascii="Century Gothic" w:eastAsia="Times New Roman" w:hAnsi="Century Gothic" w:cs="Arial"/>
          <w:color w:val="000000"/>
          <w:sz w:val="24"/>
          <w:szCs w:val="24"/>
          <w:lang w:eastAsia="en-IN"/>
        </w:rPr>
      </w:pPr>
      <w:r w:rsidRPr="00B7587F">
        <w:rPr>
          <w:rFonts w:ascii="Century Gothic" w:eastAsia="Times New Roman" w:hAnsi="Century Gothic" w:cs="Arial"/>
          <w:color w:val="000000"/>
          <w:sz w:val="24"/>
          <w:szCs w:val="24"/>
          <w:shd w:val="clear" w:color="auto" w:fill="FFFFFF"/>
          <w:lang w:eastAsia="en-IN"/>
        </w:rPr>
        <w:t>When will I get my first retirement check?</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F23226" w:rsidRPr="00F23226" w:rsidTr="00F23226">
        <w:trPr>
          <w:trHeight w:val="1005"/>
        </w:trPr>
        <w:tc>
          <w:tcPr>
            <w:tcW w:w="0" w:type="auto"/>
            <w:hideMark/>
          </w:tcPr>
          <w:p w:rsidR="00F23226" w:rsidRPr="00F23226" w:rsidRDefault="00F23226" w:rsidP="00F23226">
            <w:pPr>
              <w:spacing w:after="0" w:line="240" w:lineRule="auto"/>
              <w:rPr>
                <w:rFonts w:ascii="Century Gothic" w:eastAsia="Times New Roman" w:hAnsi="Century Gothic" w:cs="Times New Roman"/>
                <w:sz w:val="24"/>
                <w:szCs w:val="24"/>
                <w:lang w:eastAsia="en-IN"/>
              </w:rPr>
            </w:pPr>
            <w:r w:rsidRPr="00F23226">
              <w:rPr>
                <w:rFonts w:ascii="Century Gothic" w:eastAsia="Times New Roman" w:hAnsi="Century Gothic" w:cs="Arial"/>
                <w:color w:val="000000"/>
                <w:sz w:val="24"/>
                <w:szCs w:val="24"/>
                <w:shd w:val="clear" w:color="auto" w:fill="FFFFFF"/>
                <w:lang w:eastAsia="en-IN"/>
              </w:rPr>
              <w:t xml:space="preserve">            That depends on your retirement date and when your final documents are received and processed by CalPERS. The first payment can take up to 30-45 calendar days from your retirement date or the date your application is received, whichever is later. Because each case is different, </w:t>
            </w:r>
            <w:hyperlink r:id="rId5" w:history="1">
              <w:r w:rsidRPr="00B7587F">
                <w:rPr>
                  <w:rFonts w:ascii="Century Gothic" w:eastAsia="Times New Roman" w:hAnsi="Century Gothic" w:cs="Arial"/>
                  <w:color w:val="00659E"/>
                  <w:sz w:val="24"/>
                  <w:szCs w:val="24"/>
                  <w:shd w:val="clear" w:color="auto" w:fill="FFFFFF"/>
                  <w:lang w:eastAsia="en-IN"/>
                </w:rPr>
                <w:t>contact us</w:t>
              </w:r>
            </w:hyperlink>
            <w:r w:rsidRPr="00F23226">
              <w:rPr>
                <w:rFonts w:ascii="Century Gothic" w:eastAsia="Times New Roman" w:hAnsi="Century Gothic" w:cs="Arial"/>
                <w:color w:val="000000"/>
                <w:sz w:val="24"/>
                <w:szCs w:val="24"/>
                <w:shd w:val="clear" w:color="auto" w:fill="FFFFFF"/>
                <w:lang w:eastAsia="en-IN"/>
              </w:rPr>
              <w:t xml:space="preserve"> to know exactly when your first check will be sent.</w:t>
            </w:r>
          </w:p>
          <w:p w:rsidR="00F23226" w:rsidRPr="00B7587F" w:rsidRDefault="00F23226" w:rsidP="00F23226">
            <w:pPr>
              <w:spacing w:after="0" w:line="240" w:lineRule="auto"/>
              <w:rPr>
                <w:rFonts w:ascii="Century Gothic" w:eastAsia="Times New Roman" w:hAnsi="Century Gothic" w:cs="Times New Roman"/>
                <w:sz w:val="24"/>
                <w:szCs w:val="24"/>
                <w:lang w:eastAsia="en-IN"/>
              </w:rPr>
            </w:pPr>
          </w:p>
          <w:p w:rsidR="00F23226" w:rsidRPr="00B7587F" w:rsidRDefault="00F23226" w:rsidP="00554B5D">
            <w:pPr>
              <w:pStyle w:val="ListParagraph"/>
              <w:numPr>
                <w:ilvl w:val="0"/>
                <w:numId w:val="5"/>
              </w:numPr>
              <w:spacing w:after="0" w:line="240" w:lineRule="auto"/>
              <w:rPr>
                <w:rFonts w:ascii="Century Gothic" w:eastAsia="Times New Roman" w:hAnsi="Century Gothic" w:cs="Times New Roman"/>
                <w:sz w:val="24"/>
                <w:szCs w:val="24"/>
                <w:lang w:eastAsia="en-IN"/>
              </w:rPr>
            </w:pPr>
            <w:r w:rsidRPr="00B7587F">
              <w:rPr>
                <w:rFonts w:ascii="Century Gothic" w:eastAsia="Times New Roman" w:hAnsi="Century Gothic" w:cs="Times New Roman"/>
                <w:sz w:val="24"/>
                <w:szCs w:val="24"/>
                <w:lang w:eastAsia="en-IN"/>
              </w:rPr>
              <w:t>When is the earliest I can retire?</w:t>
            </w:r>
          </w:p>
          <w:p w:rsidR="00E2733E" w:rsidRPr="00B7587F" w:rsidRDefault="00E9580D" w:rsidP="00F23226">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914730" w:rsidRPr="00B7587F">
              <w:rPr>
                <w:rFonts w:ascii="Century Gothic" w:hAnsi="Century Gothic" w:cs="Arial"/>
                <w:color w:val="000000"/>
                <w:sz w:val="24"/>
                <w:szCs w:val="24"/>
              </w:rPr>
              <w:t>For most people, the earliest you can retire is age 50. If you became a member on or after January 1, 2013, you must be age 52</w:t>
            </w:r>
            <w:r w:rsidR="00F2020B">
              <w:rPr>
                <w:rFonts w:ascii="Century Gothic" w:hAnsi="Century Gothic" w:cs="Arial"/>
                <w:color w:val="000000"/>
                <w:sz w:val="24"/>
                <w:szCs w:val="24"/>
              </w:rPr>
              <w:t>.</w:t>
            </w:r>
            <w:bookmarkStart w:id="0" w:name="_GoBack"/>
            <w:bookmarkEnd w:id="0"/>
          </w:p>
          <w:p w:rsidR="00F23226" w:rsidRPr="00B7587F" w:rsidRDefault="00E2733E" w:rsidP="00F23226">
            <w:pPr>
              <w:pStyle w:val="ListParagraph"/>
              <w:numPr>
                <w:ilvl w:val="0"/>
                <w:numId w:val="5"/>
              </w:numPr>
              <w:spacing w:after="0" w:line="240" w:lineRule="auto"/>
              <w:rPr>
                <w:rFonts w:ascii="Century Gothic" w:eastAsia="Times New Roman" w:hAnsi="Century Gothic" w:cs="Times New Roman"/>
                <w:sz w:val="24"/>
                <w:szCs w:val="24"/>
                <w:lang w:eastAsia="en-IN"/>
              </w:rPr>
            </w:pPr>
            <w:r w:rsidRPr="00B7587F">
              <w:rPr>
                <w:rFonts w:ascii="Century Gothic" w:hAnsi="Century Gothic" w:cs="Arial"/>
                <w:color w:val="000000"/>
                <w:sz w:val="24"/>
                <w:szCs w:val="24"/>
              </w:rPr>
              <w:t xml:space="preserve"> </w:t>
            </w:r>
            <w:r w:rsidR="00AE64A0" w:rsidRPr="00B7587F">
              <w:rPr>
                <w:rFonts w:ascii="Century Gothic" w:hAnsi="Century Gothic" w:cs="Arial"/>
                <w:color w:val="000000"/>
                <w:sz w:val="24"/>
                <w:szCs w:val="24"/>
              </w:rPr>
              <w:t>What is the Social Security reduction?</w:t>
            </w:r>
          </w:p>
        </w:tc>
      </w:tr>
      <w:tr w:rsidR="00F23226" w:rsidRPr="00F23226" w:rsidTr="00080261">
        <w:trPr>
          <w:trHeight w:val="1005"/>
        </w:trPr>
        <w:tc>
          <w:tcPr>
            <w:tcW w:w="0" w:type="auto"/>
            <w:shd w:val="clear" w:color="auto" w:fill="FFFFFF" w:themeFill="background1"/>
            <w:hideMark/>
          </w:tcPr>
          <w:p w:rsidR="007E1B4E" w:rsidRPr="00B7587F" w:rsidRDefault="00EF3C81" w:rsidP="007E1B4E">
            <w:pPr>
              <w:pStyle w:val="NormalWeb"/>
              <w:spacing w:before="0" w:beforeAutospacing="0" w:after="188" w:afterAutospacing="0"/>
              <w:rPr>
                <w:rFonts w:ascii="Century Gothic" w:hAnsi="Century Gothic" w:cs="Arial"/>
                <w:color w:val="000000"/>
              </w:rPr>
            </w:pPr>
            <w:r w:rsidRPr="00B7587F">
              <w:rPr>
                <w:rFonts w:ascii="Century Gothic" w:hAnsi="Century Gothic" w:cs="Arial"/>
                <w:color w:val="000000"/>
              </w:rPr>
              <w:t xml:space="preserve">              </w:t>
            </w:r>
            <w:r w:rsidR="007E1B4E" w:rsidRPr="00B7587F">
              <w:rPr>
                <w:rFonts w:ascii="Century Gothic" w:hAnsi="Century Gothic" w:cs="Arial"/>
                <w:color w:val="000000"/>
              </w:rPr>
              <w:t>The Social Security reduction applies if you participate in Social Security as well as CalPERS. That means you didn't make retirement contributions on the first $133.33 of your monthly earnings. Therefore, when computing your estimate, you must reduce your final compensation by $133.33.</w:t>
            </w:r>
          </w:p>
          <w:p w:rsidR="00D838E3" w:rsidRPr="00B7587F" w:rsidRDefault="007E1B4E" w:rsidP="00D86276">
            <w:pPr>
              <w:pStyle w:val="ListParagraph"/>
              <w:numPr>
                <w:ilvl w:val="0"/>
                <w:numId w:val="5"/>
              </w:numPr>
              <w:spacing w:after="0" w:line="240" w:lineRule="auto"/>
              <w:rPr>
                <w:rFonts w:ascii="Century Gothic" w:hAnsi="Century Gothic" w:cs="Arial"/>
                <w:color w:val="000000"/>
                <w:sz w:val="24"/>
                <w:szCs w:val="24"/>
                <w:shd w:val="clear" w:color="auto" w:fill="DCE8EF"/>
              </w:rPr>
            </w:pPr>
            <w:r w:rsidRPr="00B7587F">
              <w:rPr>
                <w:rFonts w:ascii="Century Gothic" w:eastAsia="Times New Roman" w:hAnsi="Century Gothic" w:cs="Times New Roman"/>
                <w:sz w:val="24"/>
                <w:szCs w:val="24"/>
                <w:lang w:eastAsia="en-IN"/>
              </w:rPr>
              <w:t xml:space="preserve"> </w:t>
            </w:r>
            <w:r w:rsidR="00D838E3" w:rsidRPr="00B7587F">
              <w:rPr>
                <w:rFonts w:ascii="Century Gothic" w:hAnsi="Century Gothic" w:cs="Arial"/>
                <w:color w:val="000000"/>
                <w:sz w:val="24"/>
                <w:szCs w:val="24"/>
              </w:rPr>
              <w:t>What is my retirement formula?</w:t>
            </w:r>
          </w:p>
          <w:p w:rsidR="00D838E3" w:rsidRPr="00B7587F" w:rsidRDefault="00D86276" w:rsidP="00F23226">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7E187C" w:rsidRPr="00B7587F">
              <w:rPr>
                <w:rFonts w:ascii="Century Gothic" w:hAnsi="Century Gothic" w:cs="Arial"/>
                <w:color w:val="000000"/>
                <w:sz w:val="24"/>
                <w:szCs w:val="24"/>
              </w:rPr>
              <w:t>The easiest way to find your current formula is to log in to your </w:t>
            </w:r>
            <w:proofErr w:type="spellStart"/>
            <w:r w:rsidR="007E187C" w:rsidRPr="00B7587F">
              <w:rPr>
                <w:rFonts w:ascii="Century Gothic" w:hAnsi="Century Gothic"/>
                <w:sz w:val="24"/>
                <w:szCs w:val="24"/>
              </w:rPr>
              <w:fldChar w:fldCharType="begin"/>
            </w:r>
            <w:r w:rsidR="007E187C" w:rsidRPr="00B7587F">
              <w:rPr>
                <w:rFonts w:ascii="Century Gothic" w:hAnsi="Century Gothic"/>
                <w:sz w:val="24"/>
                <w:szCs w:val="24"/>
              </w:rPr>
              <w:instrText xml:space="preserve"> HYPERLINK "https://my.calpers.ca.gov/" </w:instrText>
            </w:r>
            <w:r w:rsidR="007E187C" w:rsidRPr="00B7587F">
              <w:rPr>
                <w:rFonts w:ascii="Century Gothic" w:hAnsi="Century Gothic"/>
                <w:sz w:val="24"/>
                <w:szCs w:val="24"/>
              </w:rPr>
              <w:fldChar w:fldCharType="separate"/>
            </w:r>
            <w:r w:rsidR="007E187C" w:rsidRPr="00B7587F">
              <w:rPr>
                <w:rStyle w:val="Hyperlink"/>
                <w:rFonts w:ascii="Century Gothic" w:hAnsi="Century Gothic" w:cs="Arial"/>
                <w:color w:val="00659E"/>
                <w:sz w:val="24"/>
                <w:szCs w:val="24"/>
              </w:rPr>
              <w:t>my|CalPERS</w:t>
            </w:r>
            <w:proofErr w:type="spellEnd"/>
            <w:r w:rsidR="007E187C" w:rsidRPr="00B7587F">
              <w:rPr>
                <w:rFonts w:ascii="Century Gothic" w:hAnsi="Century Gothic"/>
                <w:sz w:val="24"/>
                <w:szCs w:val="24"/>
              </w:rPr>
              <w:fldChar w:fldCharType="end"/>
            </w:r>
            <w:r w:rsidR="007E187C" w:rsidRPr="00B7587F">
              <w:rPr>
                <w:rFonts w:ascii="Century Gothic" w:hAnsi="Century Gothic" w:cs="Arial"/>
                <w:color w:val="000000"/>
                <w:sz w:val="24"/>
                <w:szCs w:val="24"/>
              </w:rPr>
              <w:t xml:space="preserve"> account. Your retirement formula is displayed on the homepage. If you have worked for more than one employer, go to the Retirement Summary page in </w:t>
            </w:r>
            <w:proofErr w:type="spellStart"/>
            <w:r w:rsidR="007E187C" w:rsidRPr="00B7587F">
              <w:rPr>
                <w:rFonts w:ascii="Century Gothic" w:hAnsi="Century Gothic" w:cs="Arial"/>
                <w:color w:val="000000"/>
                <w:sz w:val="24"/>
                <w:szCs w:val="24"/>
              </w:rPr>
              <w:t>my|CalPERS</w:t>
            </w:r>
            <w:proofErr w:type="spellEnd"/>
            <w:r w:rsidR="007E187C" w:rsidRPr="00B7587F">
              <w:rPr>
                <w:rFonts w:ascii="Century Gothic" w:hAnsi="Century Gothic" w:cs="Arial"/>
                <w:color w:val="000000"/>
                <w:sz w:val="24"/>
                <w:szCs w:val="24"/>
              </w:rPr>
              <w:t xml:space="preserve"> to view more employment formulas at each employer. You can also find it on your most recent Annual Member Statement (also on </w:t>
            </w:r>
            <w:proofErr w:type="spellStart"/>
            <w:r w:rsidR="007E187C" w:rsidRPr="00B7587F">
              <w:rPr>
                <w:rFonts w:ascii="Century Gothic" w:hAnsi="Century Gothic" w:cs="Arial"/>
                <w:color w:val="000000"/>
                <w:sz w:val="24"/>
                <w:szCs w:val="24"/>
              </w:rPr>
              <w:t>my|CalPERS</w:t>
            </w:r>
            <w:proofErr w:type="spellEnd"/>
            <w:r w:rsidR="007E187C" w:rsidRPr="00B7587F">
              <w:rPr>
                <w:rFonts w:ascii="Century Gothic" w:hAnsi="Century Gothic" w:cs="Arial"/>
                <w:color w:val="000000"/>
                <w:sz w:val="24"/>
                <w:szCs w:val="24"/>
              </w:rPr>
              <w:t>) or by asking your employer.</w:t>
            </w:r>
          </w:p>
          <w:p w:rsidR="00072A43" w:rsidRPr="00B7587F" w:rsidRDefault="00072A43" w:rsidP="00F23226">
            <w:pPr>
              <w:spacing w:after="0" w:line="240" w:lineRule="auto"/>
              <w:rPr>
                <w:rFonts w:ascii="Century Gothic" w:hAnsi="Century Gothic" w:cs="Arial"/>
                <w:color w:val="000000"/>
                <w:sz w:val="24"/>
                <w:szCs w:val="24"/>
              </w:rPr>
            </w:pPr>
          </w:p>
          <w:p w:rsidR="00A168EB" w:rsidRPr="00B7587F" w:rsidRDefault="00A168EB" w:rsidP="0045230A">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Is my disability retirement benefit tax free?</w:t>
            </w:r>
          </w:p>
          <w:p w:rsidR="00A168EB" w:rsidRPr="00B7587F" w:rsidRDefault="00434DD9" w:rsidP="00A168EB">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735DB7" w:rsidRPr="00B7587F">
              <w:rPr>
                <w:rFonts w:ascii="Century Gothic" w:hAnsi="Century Gothic" w:cs="Arial"/>
                <w:color w:val="000000"/>
                <w:sz w:val="24"/>
                <w:szCs w:val="24"/>
              </w:rPr>
              <w:t xml:space="preserve">For tax reporting purposes, the IRS requires us to report disability retirements the same as service retirements. Only Industrial Death benefits </w:t>
            </w:r>
            <w:r w:rsidR="00735DB7" w:rsidRPr="00B7587F">
              <w:rPr>
                <w:rFonts w:ascii="Century Gothic" w:hAnsi="Century Gothic" w:cs="Arial"/>
                <w:color w:val="000000"/>
                <w:sz w:val="24"/>
                <w:szCs w:val="24"/>
              </w:rPr>
              <w:lastRenderedPageBreak/>
              <w:t>and Industrial Disability Retirement benefits with no excess income taxable percentage qualify for the Internal Revenue Code tax benefit (IRC section 104(a)(1)).</w:t>
            </w:r>
          </w:p>
          <w:p w:rsidR="00CD0589" w:rsidRPr="00B7587F" w:rsidRDefault="00CD0589" w:rsidP="00A168EB">
            <w:pPr>
              <w:spacing w:after="0" w:line="240" w:lineRule="auto"/>
              <w:rPr>
                <w:rFonts w:ascii="Century Gothic" w:hAnsi="Century Gothic" w:cs="Arial"/>
                <w:color w:val="000000"/>
                <w:sz w:val="24"/>
                <w:szCs w:val="24"/>
              </w:rPr>
            </w:pPr>
          </w:p>
          <w:p w:rsidR="00CD0589" w:rsidRPr="00B7587F" w:rsidRDefault="00EE762B" w:rsidP="00A11D75">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If I plan to retire in less than five years, which class should I take?</w:t>
            </w:r>
          </w:p>
          <w:p w:rsidR="005300AE" w:rsidRPr="00B7587F" w:rsidRDefault="00A11D75" w:rsidP="00A168EB">
            <w:p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4701FD" w:rsidRPr="00B7587F">
              <w:rPr>
                <w:rFonts w:ascii="Century Gothic" w:hAnsi="Century Gothic" w:cs="Arial"/>
                <w:color w:val="000000"/>
                <w:sz w:val="24"/>
                <w:szCs w:val="24"/>
              </w:rPr>
              <w:t>The Planning Your Retirement class is for members who are nearing retirement and want to learn about the process of retiring. It covers service credit, options at retirement, how to choose your retirement date, the retirement application process, and more.</w:t>
            </w:r>
          </w:p>
          <w:p w:rsidR="00D4409B" w:rsidRPr="00B7587F" w:rsidRDefault="00D4409B" w:rsidP="00A168EB">
            <w:pPr>
              <w:spacing w:after="0" w:line="240" w:lineRule="auto"/>
              <w:rPr>
                <w:rFonts w:ascii="Century Gothic" w:hAnsi="Century Gothic" w:cs="Arial"/>
                <w:color w:val="000000"/>
                <w:sz w:val="24"/>
                <w:szCs w:val="24"/>
              </w:rPr>
            </w:pPr>
          </w:p>
          <w:p w:rsidR="00D4409B" w:rsidRPr="00B7587F" w:rsidRDefault="00D4409B" w:rsidP="00155AD6">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rPr>
              <w:t xml:space="preserve"> </w:t>
            </w:r>
            <w:r w:rsidR="00060B15" w:rsidRPr="00B7587F">
              <w:rPr>
                <w:rFonts w:ascii="Century Gothic" w:hAnsi="Century Gothic" w:cs="Arial"/>
                <w:color w:val="000000"/>
                <w:sz w:val="24"/>
                <w:szCs w:val="24"/>
              </w:rPr>
              <w:t xml:space="preserve">If I plan to continue to work after age 65, when do I need to </w:t>
            </w:r>
            <w:proofErr w:type="spellStart"/>
            <w:r w:rsidR="00060B15" w:rsidRPr="00B7587F">
              <w:rPr>
                <w:rFonts w:ascii="Century Gothic" w:hAnsi="Century Gothic" w:cs="Arial"/>
                <w:color w:val="000000"/>
                <w:sz w:val="24"/>
                <w:szCs w:val="24"/>
              </w:rPr>
              <w:t>enroll</w:t>
            </w:r>
            <w:proofErr w:type="spellEnd"/>
            <w:r w:rsidR="00060B15" w:rsidRPr="00B7587F">
              <w:rPr>
                <w:rFonts w:ascii="Century Gothic" w:hAnsi="Century Gothic" w:cs="Arial"/>
                <w:color w:val="000000"/>
                <w:sz w:val="24"/>
                <w:szCs w:val="24"/>
              </w:rPr>
              <w:t xml:space="preserve"> in Medicare?</w:t>
            </w:r>
          </w:p>
          <w:p w:rsidR="009A654A" w:rsidRPr="00B7587F" w:rsidRDefault="00155AD6" w:rsidP="009A654A">
            <w:pPr>
              <w:pStyle w:val="NormalWeb"/>
              <w:spacing w:before="0" w:beforeAutospacing="0" w:after="188" w:afterAutospacing="0"/>
              <w:rPr>
                <w:rFonts w:ascii="Century Gothic" w:hAnsi="Century Gothic" w:cs="Arial"/>
                <w:color w:val="000000"/>
              </w:rPr>
            </w:pPr>
            <w:r w:rsidRPr="00B7587F">
              <w:rPr>
                <w:rFonts w:ascii="Century Gothic" w:hAnsi="Century Gothic" w:cs="Arial"/>
                <w:color w:val="000000"/>
              </w:rPr>
              <w:t xml:space="preserve">             </w:t>
            </w:r>
            <w:r w:rsidR="009A654A" w:rsidRPr="00B7587F">
              <w:rPr>
                <w:rFonts w:ascii="Century Gothic" w:hAnsi="Century Gothic" w:cs="Arial"/>
                <w:color w:val="000000"/>
              </w:rPr>
              <w:t xml:space="preserve">If you're entitled to premium-free Medicare Part A, we suggest you </w:t>
            </w:r>
            <w:proofErr w:type="spellStart"/>
            <w:r w:rsidR="009A654A" w:rsidRPr="00B7587F">
              <w:rPr>
                <w:rFonts w:ascii="Century Gothic" w:hAnsi="Century Gothic" w:cs="Arial"/>
                <w:color w:val="000000"/>
              </w:rPr>
              <w:t>enroll</w:t>
            </w:r>
            <w:proofErr w:type="spellEnd"/>
            <w:r w:rsidR="009A654A" w:rsidRPr="00B7587F">
              <w:rPr>
                <w:rFonts w:ascii="Century Gothic" w:hAnsi="Century Gothic" w:cs="Arial"/>
                <w:color w:val="000000"/>
              </w:rPr>
              <w:t xml:space="preserve"> before your 65</w:t>
            </w:r>
            <w:r w:rsidR="009A654A" w:rsidRPr="00B7587F">
              <w:rPr>
                <w:rFonts w:ascii="Century Gothic" w:hAnsi="Century Gothic" w:cs="Arial"/>
                <w:color w:val="000000"/>
                <w:vertAlign w:val="superscript"/>
              </w:rPr>
              <w:t>th</w:t>
            </w:r>
            <w:r w:rsidR="009A654A" w:rsidRPr="00B7587F">
              <w:rPr>
                <w:rFonts w:ascii="Century Gothic" w:hAnsi="Century Gothic" w:cs="Arial"/>
                <w:color w:val="000000"/>
              </w:rPr>
              <w:t xml:space="preserve"> birthday. You may defer </w:t>
            </w:r>
            <w:proofErr w:type="spellStart"/>
            <w:r w:rsidR="009A654A" w:rsidRPr="00B7587F">
              <w:rPr>
                <w:rFonts w:ascii="Century Gothic" w:hAnsi="Century Gothic" w:cs="Arial"/>
                <w:color w:val="000000"/>
              </w:rPr>
              <w:t>enrollment</w:t>
            </w:r>
            <w:proofErr w:type="spellEnd"/>
            <w:r w:rsidR="009A654A" w:rsidRPr="00B7587F">
              <w:rPr>
                <w:rFonts w:ascii="Century Gothic" w:hAnsi="Century Gothic" w:cs="Arial"/>
                <w:color w:val="000000"/>
              </w:rPr>
              <w:t xml:space="preserve"> in Medicare Part B if you're covered by an employer group health plan (yours or your spouse's). When you retire, or if you lose coverage under the employer group health coverage, immediately </w:t>
            </w:r>
            <w:proofErr w:type="spellStart"/>
            <w:r w:rsidR="009A654A" w:rsidRPr="00B7587F">
              <w:rPr>
                <w:rFonts w:ascii="Century Gothic" w:hAnsi="Century Gothic" w:cs="Arial"/>
                <w:color w:val="000000"/>
              </w:rPr>
              <w:t>enroll</w:t>
            </w:r>
            <w:proofErr w:type="spellEnd"/>
            <w:r w:rsidR="009A654A" w:rsidRPr="00B7587F">
              <w:rPr>
                <w:rFonts w:ascii="Century Gothic" w:hAnsi="Century Gothic" w:cs="Arial"/>
                <w:color w:val="000000"/>
              </w:rPr>
              <w:t xml:space="preserve"> in Medicare Part B and notify CalPERS to transition into a CalPERS Medicare health plan.</w:t>
            </w:r>
          </w:p>
          <w:p w:rsidR="00080261" w:rsidRPr="00B7587F" w:rsidRDefault="00080261" w:rsidP="00493B4B">
            <w:pPr>
              <w:pStyle w:val="ListParagraph"/>
              <w:numPr>
                <w:ilvl w:val="0"/>
                <w:numId w:val="5"/>
              </w:numPr>
              <w:spacing w:after="0" w:line="240" w:lineRule="auto"/>
              <w:rPr>
                <w:rFonts w:ascii="Century Gothic" w:hAnsi="Century Gothic" w:cs="Arial"/>
                <w:color w:val="000000"/>
                <w:sz w:val="24"/>
                <w:szCs w:val="24"/>
              </w:rPr>
            </w:pPr>
            <w:r w:rsidRPr="00B7587F">
              <w:rPr>
                <w:rFonts w:ascii="Century Gothic" w:hAnsi="Century Gothic" w:cs="Arial"/>
                <w:color w:val="000000"/>
                <w:sz w:val="24"/>
                <w:szCs w:val="24"/>
                <w:shd w:val="clear" w:color="auto" w:fill="FFFFFF" w:themeFill="background1"/>
              </w:rPr>
              <w:t xml:space="preserve"> </w:t>
            </w:r>
            <w:r w:rsidRPr="00B7587F">
              <w:rPr>
                <w:rFonts w:ascii="Century Gothic" w:hAnsi="Century Gothic" w:cs="Arial"/>
                <w:color w:val="000000"/>
                <w:sz w:val="24"/>
                <w:szCs w:val="24"/>
              </w:rPr>
              <w:t xml:space="preserve">Can my attorney-in-fact access my </w:t>
            </w:r>
            <w:proofErr w:type="spellStart"/>
            <w:r w:rsidRPr="00B7587F">
              <w:rPr>
                <w:rFonts w:ascii="Century Gothic" w:hAnsi="Century Gothic" w:cs="Arial"/>
                <w:color w:val="000000"/>
                <w:sz w:val="24"/>
                <w:szCs w:val="24"/>
              </w:rPr>
              <w:t>myCalPERS</w:t>
            </w:r>
            <w:proofErr w:type="spellEnd"/>
            <w:r w:rsidRPr="00B7587F">
              <w:rPr>
                <w:rFonts w:ascii="Century Gothic" w:hAnsi="Century Gothic" w:cs="Arial"/>
                <w:color w:val="000000"/>
                <w:sz w:val="24"/>
                <w:szCs w:val="24"/>
              </w:rPr>
              <w:t xml:space="preserve"> account online?</w:t>
            </w:r>
          </w:p>
          <w:p w:rsidR="00B01F38" w:rsidRPr="00B7587F" w:rsidRDefault="000B69C3" w:rsidP="00B01F38">
            <w:pPr>
              <w:pStyle w:val="NormalWeb"/>
              <w:spacing w:before="0" w:beforeAutospacing="0" w:after="188" w:afterAutospacing="0"/>
              <w:rPr>
                <w:rFonts w:ascii="Century Gothic" w:hAnsi="Century Gothic" w:cs="Arial"/>
                <w:color w:val="000000"/>
              </w:rPr>
            </w:pPr>
            <w:r w:rsidRPr="00B7587F">
              <w:rPr>
                <w:rFonts w:ascii="Century Gothic" w:hAnsi="Century Gothic" w:cs="Arial"/>
                <w:color w:val="000000"/>
              </w:rPr>
              <w:t xml:space="preserve">             </w:t>
            </w:r>
            <w:r w:rsidR="00E328E8" w:rsidRPr="00B7587F">
              <w:rPr>
                <w:rFonts w:ascii="Century Gothic" w:hAnsi="Century Gothic" w:cs="Arial"/>
                <w:color w:val="000000"/>
              </w:rPr>
              <w:t>For security reasons, only CalPERS members are allowed to access their </w:t>
            </w:r>
            <w:proofErr w:type="spellStart"/>
            <w:r w:rsidR="00E328E8" w:rsidRPr="00B7587F">
              <w:rPr>
                <w:rFonts w:ascii="Century Gothic" w:hAnsi="Century Gothic" w:cs="Arial"/>
                <w:color w:val="000000"/>
              </w:rPr>
              <w:fldChar w:fldCharType="begin"/>
            </w:r>
            <w:r w:rsidR="00E328E8" w:rsidRPr="00B7587F">
              <w:rPr>
                <w:rFonts w:ascii="Century Gothic" w:hAnsi="Century Gothic" w:cs="Arial"/>
                <w:color w:val="000000"/>
              </w:rPr>
              <w:instrText xml:space="preserve"> HYPERLINK "https://my.calpers.ca.gov/" </w:instrText>
            </w:r>
            <w:r w:rsidR="00E328E8" w:rsidRPr="00B7587F">
              <w:rPr>
                <w:rFonts w:ascii="Century Gothic" w:hAnsi="Century Gothic" w:cs="Arial"/>
                <w:color w:val="000000"/>
              </w:rPr>
              <w:fldChar w:fldCharType="separate"/>
            </w:r>
            <w:r w:rsidR="00E328E8" w:rsidRPr="00B7587F">
              <w:rPr>
                <w:rStyle w:val="Hyperlink"/>
                <w:rFonts w:ascii="Century Gothic" w:hAnsi="Century Gothic" w:cs="Arial"/>
                <w:color w:val="00659E"/>
              </w:rPr>
              <w:t>myCalPERS</w:t>
            </w:r>
            <w:proofErr w:type="spellEnd"/>
            <w:r w:rsidR="00E328E8" w:rsidRPr="00B7587F">
              <w:rPr>
                <w:rFonts w:ascii="Century Gothic" w:hAnsi="Century Gothic" w:cs="Arial"/>
                <w:color w:val="000000"/>
              </w:rPr>
              <w:fldChar w:fldCharType="end"/>
            </w:r>
            <w:r w:rsidR="00B01F38">
              <w:rPr>
                <w:rFonts w:ascii="Century Gothic" w:hAnsi="Century Gothic" w:cs="Arial"/>
                <w:color w:val="000000"/>
              </w:rPr>
              <w:t> accounts online.</w:t>
            </w:r>
          </w:p>
          <w:p w:rsidR="00E328E8" w:rsidRPr="00B7587F" w:rsidRDefault="00E328E8" w:rsidP="00E328E8">
            <w:pPr>
              <w:pStyle w:val="NormalWeb"/>
              <w:spacing w:before="0" w:beforeAutospacing="0" w:after="188" w:afterAutospacing="0"/>
              <w:rPr>
                <w:rFonts w:ascii="Century Gothic" w:hAnsi="Century Gothic" w:cs="Arial"/>
                <w:color w:val="000000"/>
              </w:rPr>
            </w:pPr>
          </w:p>
          <w:p w:rsidR="007256F2" w:rsidRPr="00B7587F" w:rsidRDefault="007256F2" w:rsidP="00080261">
            <w:pPr>
              <w:spacing w:after="0" w:line="240" w:lineRule="auto"/>
              <w:rPr>
                <w:rFonts w:ascii="Century Gothic" w:hAnsi="Century Gothic" w:cs="Arial"/>
                <w:color w:val="000000"/>
                <w:sz w:val="24"/>
                <w:szCs w:val="24"/>
                <w:shd w:val="clear" w:color="auto" w:fill="DCE8EF"/>
              </w:rPr>
            </w:pPr>
          </w:p>
          <w:p w:rsidR="00072A43" w:rsidRPr="00F23226" w:rsidRDefault="00072A43" w:rsidP="00853AC4">
            <w:pPr>
              <w:spacing w:after="0" w:line="240" w:lineRule="auto"/>
              <w:rPr>
                <w:rFonts w:ascii="Century Gothic" w:hAnsi="Century Gothic" w:cs="Arial"/>
                <w:color w:val="000000"/>
                <w:sz w:val="24"/>
                <w:szCs w:val="24"/>
                <w:shd w:val="clear" w:color="auto" w:fill="DCE8EF"/>
              </w:rPr>
            </w:pPr>
          </w:p>
        </w:tc>
      </w:tr>
    </w:tbl>
    <w:p w:rsidR="004533A2" w:rsidRPr="00B7587F" w:rsidRDefault="004533A2">
      <w:pPr>
        <w:rPr>
          <w:rFonts w:ascii="Century Gothic" w:hAnsi="Century Gothic"/>
          <w:sz w:val="24"/>
          <w:szCs w:val="24"/>
        </w:rPr>
      </w:pPr>
    </w:p>
    <w:p>
      <w:r>
        <w:br/>
        <w:br/>
        <w:t>Can my attorney-in-fact access my myCalPERS account online</w:t>
        <w:br/>
        <w:br/>
        <w:t>1. For security reasons, only CalPERS members are allowed to access their myCalPERS accounts online.</w:t>
        <w:br/>
        <w:br/>
        <w:t>2. Your attorney-in-fact cannot access your myCalPERS account online.</w:t>
        <w:br/>
        <w:br/>
        <w:t>3. However, your attorney-in-fact can call CalPERS on your behalf, provided they have the proper authorization and necessary details to verify their identity and authorization.</w:t>
        <w:br/>
        <w:br/>
        <w:t>4. It is important to ensure that your attorney-in-fact has a copy of the Power of Attorney document, as CalPERS may require this for verification purposes.</w:t>
      </w:r>
    </w:p>
    <w:sectPr w:rsidR="004533A2" w:rsidRPr="00B75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398C"/>
    <w:multiLevelType w:val="multilevel"/>
    <w:tmpl w:val="C3B21F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33B38"/>
    <w:multiLevelType w:val="multilevel"/>
    <w:tmpl w:val="2ABE3D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51A45"/>
    <w:multiLevelType w:val="hybridMultilevel"/>
    <w:tmpl w:val="5FACC5D2"/>
    <w:lvl w:ilvl="0" w:tplc="5412AEE0">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5494E"/>
    <w:multiLevelType w:val="multilevel"/>
    <w:tmpl w:val="16F401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F22E7"/>
    <w:multiLevelType w:val="multilevel"/>
    <w:tmpl w:val="7964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226"/>
    <w:rsid w:val="00060B15"/>
    <w:rsid w:val="00072A43"/>
    <w:rsid w:val="00080261"/>
    <w:rsid w:val="000B69C3"/>
    <w:rsid w:val="000D0463"/>
    <w:rsid w:val="00155AD6"/>
    <w:rsid w:val="001D4E03"/>
    <w:rsid w:val="002141E2"/>
    <w:rsid w:val="002D0D26"/>
    <w:rsid w:val="003D69CD"/>
    <w:rsid w:val="00434DD9"/>
    <w:rsid w:val="0045230A"/>
    <w:rsid w:val="004533A2"/>
    <w:rsid w:val="004701FD"/>
    <w:rsid w:val="00493B4B"/>
    <w:rsid w:val="005300AE"/>
    <w:rsid w:val="00554B5D"/>
    <w:rsid w:val="0059192A"/>
    <w:rsid w:val="007256F2"/>
    <w:rsid w:val="00735DB7"/>
    <w:rsid w:val="007E187C"/>
    <w:rsid w:val="007E1B4E"/>
    <w:rsid w:val="00853AC4"/>
    <w:rsid w:val="00914730"/>
    <w:rsid w:val="009A654A"/>
    <w:rsid w:val="009C1446"/>
    <w:rsid w:val="00A06E2F"/>
    <w:rsid w:val="00A11D75"/>
    <w:rsid w:val="00A168EB"/>
    <w:rsid w:val="00AE64A0"/>
    <w:rsid w:val="00B01F38"/>
    <w:rsid w:val="00B41751"/>
    <w:rsid w:val="00B7587F"/>
    <w:rsid w:val="00CD0589"/>
    <w:rsid w:val="00D2120C"/>
    <w:rsid w:val="00D4409B"/>
    <w:rsid w:val="00D6665D"/>
    <w:rsid w:val="00D838E3"/>
    <w:rsid w:val="00D85B68"/>
    <w:rsid w:val="00D86276"/>
    <w:rsid w:val="00E05DAD"/>
    <w:rsid w:val="00E2733E"/>
    <w:rsid w:val="00E328E8"/>
    <w:rsid w:val="00E9580D"/>
    <w:rsid w:val="00EE762B"/>
    <w:rsid w:val="00EF3C81"/>
    <w:rsid w:val="00F2020B"/>
    <w:rsid w:val="00F23226"/>
    <w:rsid w:val="00FB5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0438D-6ACE-4AA9-A321-D0DAD7A9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23226"/>
  </w:style>
  <w:style w:type="character" w:styleId="Hyperlink">
    <w:name w:val="Hyperlink"/>
    <w:basedOn w:val="DefaultParagraphFont"/>
    <w:uiPriority w:val="99"/>
    <w:semiHidden/>
    <w:unhideWhenUsed/>
    <w:rsid w:val="00F23226"/>
    <w:rPr>
      <w:color w:val="0000FF"/>
      <w:u w:val="single"/>
    </w:rPr>
  </w:style>
  <w:style w:type="character" w:styleId="Strong">
    <w:name w:val="Strong"/>
    <w:basedOn w:val="DefaultParagraphFont"/>
    <w:uiPriority w:val="22"/>
    <w:qFormat/>
    <w:rsid w:val="00E328E8"/>
    <w:rPr>
      <w:b/>
      <w:bCs/>
    </w:rPr>
  </w:style>
  <w:style w:type="paragraph" w:styleId="ListParagraph">
    <w:name w:val="List Paragraph"/>
    <w:basedOn w:val="Normal"/>
    <w:uiPriority w:val="34"/>
    <w:qFormat/>
    <w:rsid w:val="002D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74237">
      <w:bodyDiv w:val="1"/>
      <w:marLeft w:val="0"/>
      <w:marRight w:val="0"/>
      <w:marTop w:val="0"/>
      <w:marBottom w:val="0"/>
      <w:divBdr>
        <w:top w:val="none" w:sz="0" w:space="0" w:color="auto"/>
        <w:left w:val="none" w:sz="0" w:space="0" w:color="auto"/>
        <w:bottom w:val="none" w:sz="0" w:space="0" w:color="auto"/>
        <w:right w:val="none" w:sz="0" w:space="0" w:color="auto"/>
      </w:divBdr>
    </w:div>
    <w:div w:id="523053166">
      <w:bodyDiv w:val="1"/>
      <w:marLeft w:val="0"/>
      <w:marRight w:val="0"/>
      <w:marTop w:val="0"/>
      <w:marBottom w:val="0"/>
      <w:divBdr>
        <w:top w:val="none" w:sz="0" w:space="0" w:color="auto"/>
        <w:left w:val="none" w:sz="0" w:space="0" w:color="auto"/>
        <w:bottom w:val="none" w:sz="0" w:space="0" w:color="auto"/>
        <w:right w:val="none" w:sz="0" w:space="0" w:color="auto"/>
      </w:divBdr>
    </w:div>
    <w:div w:id="531186879">
      <w:bodyDiv w:val="1"/>
      <w:marLeft w:val="0"/>
      <w:marRight w:val="0"/>
      <w:marTop w:val="0"/>
      <w:marBottom w:val="0"/>
      <w:divBdr>
        <w:top w:val="none" w:sz="0" w:space="0" w:color="auto"/>
        <w:left w:val="none" w:sz="0" w:space="0" w:color="auto"/>
        <w:bottom w:val="none" w:sz="0" w:space="0" w:color="auto"/>
        <w:right w:val="none" w:sz="0" w:space="0" w:color="auto"/>
      </w:divBdr>
    </w:div>
    <w:div w:id="633220023">
      <w:bodyDiv w:val="1"/>
      <w:marLeft w:val="0"/>
      <w:marRight w:val="0"/>
      <w:marTop w:val="0"/>
      <w:marBottom w:val="0"/>
      <w:divBdr>
        <w:top w:val="none" w:sz="0" w:space="0" w:color="auto"/>
        <w:left w:val="none" w:sz="0" w:space="0" w:color="auto"/>
        <w:bottom w:val="none" w:sz="0" w:space="0" w:color="auto"/>
        <w:right w:val="none" w:sz="0" w:space="0" w:color="auto"/>
      </w:divBdr>
    </w:div>
    <w:div w:id="644626910">
      <w:bodyDiv w:val="1"/>
      <w:marLeft w:val="0"/>
      <w:marRight w:val="0"/>
      <w:marTop w:val="0"/>
      <w:marBottom w:val="0"/>
      <w:divBdr>
        <w:top w:val="none" w:sz="0" w:space="0" w:color="auto"/>
        <w:left w:val="none" w:sz="0" w:space="0" w:color="auto"/>
        <w:bottom w:val="none" w:sz="0" w:space="0" w:color="auto"/>
        <w:right w:val="none" w:sz="0" w:space="0" w:color="auto"/>
      </w:divBdr>
    </w:div>
    <w:div w:id="1072582815">
      <w:bodyDiv w:val="1"/>
      <w:marLeft w:val="0"/>
      <w:marRight w:val="0"/>
      <w:marTop w:val="0"/>
      <w:marBottom w:val="0"/>
      <w:divBdr>
        <w:top w:val="none" w:sz="0" w:space="0" w:color="auto"/>
        <w:left w:val="none" w:sz="0" w:space="0" w:color="auto"/>
        <w:bottom w:val="none" w:sz="0" w:space="0" w:color="auto"/>
        <w:right w:val="none" w:sz="0" w:space="0" w:color="auto"/>
      </w:divBdr>
    </w:div>
    <w:div w:id="1673338047">
      <w:bodyDiv w:val="1"/>
      <w:marLeft w:val="0"/>
      <w:marRight w:val="0"/>
      <w:marTop w:val="0"/>
      <w:marBottom w:val="0"/>
      <w:divBdr>
        <w:top w:val="none" w:sz="0" w:space="0" w:color="auto"/>
        <w:left w:val="none" w:sz="0" w:space="0" w:color="auto"/>
        <w:bottom w:val="none" w:sz="0" w:space="0" w:color="auto"/>
        <w:right w:val="none" w:sz="0" w:space="0" w:color="auto"/>
      </w:divBdr>
    </w:div>
    <w:div w:id="1821573392">
      <w:bodyDiv w:val="1"/>
      <w:marLeft w:val="0"/>
      <w:marRight w:val="0"/>
      <w:marTop w:val="0"/>
      <w:marBottom w:val="0"/>
      <w:divBdr>
        <w:top w:val="none" w:sz="0" w:space="0" w:color="auto"/>
        <w:left w:val="none" w:sz="0" w:space="0" w:color="auto"/>
        <w:bottom w:val="none" w:sz="0" w:space="0" w:color="auto"/>
        <w:right w:val="none" w:sz="0" w:space="0" w:color="auto"/>
      </w:divBdr>
    </w:div>
    <w:div w:id="21290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alpers.ca.gov/page/cont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2025-01-03T10:28:00Z</dcterms:created>
  <dcterms:modified xsi:type="dcterms:W3CDTF">2025-01-07T10:12:00Z</dcterms:modified>
</cp:coreProperties>
</file>