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F6E5C"/>
          <w:spacing w:val="40"/>
          <w:sz w:val="24"/>
          <w:szCs w:val="24"/>
        </w:rPr>
        <w:t xml:space="preserve">WHITEPAPER 2.0</w:t>
      </w:r>
    </w:p>
    <w:p>
      <w:pPr>
        <w:spacing w:after="100" w:before="200"/>
        <w:jc w:val="center"/>
      </w:pPr>
      <w:r>
        <w:rPr>
          <w:b/>
          <w:bCs/>
          <w:color w:val="1A1F26"/>
          <w:sz w:val="52"/>
          <w:szCs w:val="52"/>
        </w:rPr>
        <w:t xml:space="preserve">Detectie van een C2-loos LLM-botnet</w:t>
      </w:r>
    </w:p>
    <w:p>
      <w:pPr>
        <w:spacing w:after="500"/>
        <w:jc w:val="center"/>
      </w:pPr>
      <w:r>
        <w:rPr>
          <w:i/>
          <w:iCs/>
          <w:color w:val="5B6472"/>
          <w:sz w:val="24"/>
          <w:szCs w:val="24"/>
        </w:rPr>
        <w:t xml:space="preserve">Van dreigingsanalyse tot productiesysteem: architectuur, praktijktest, licentiemodel en Windows-uitbreiding</w:t>
      </w:r>
    </w:p>
    <w:p>
      <w:pPr>
        <w:spacing w:before="1200"/>
        <w:jc w:val="center"/>
      </w:pPr>
      <w:r>
        <w:rPr>
          <w:color w:val="5B6472"/>
          <w:sz w:val="20"/>
          <w:szCs w:val="20"/>
        </w:rPr>
        <w:t xml:space="preserve">Volledig projectverslag</w:t>
      </w:r>
    </w:p>
    <w:p>
      <w:pPr>
        <w:spacing w:after="100"/>
        <w:jc w:val="center"/>
      </w:pPr>
      <w:r>
        <w:rPr>
          <w:color w:val="5B6472"/>
          <w:sz w:val="20"/>
          <w:szCs w:val="20"/>
        </w:rPr>
        <w:t xml:space="preserve">Augustus 2026</w:t>
      </w:r>
    </w:p>
    <w:p>
      <w:r>
        <w:br w:type="page"/>
      </w:r>
    </w:p>
    <w:p>
      <w:pPr>
        <w:pStyle w:val="Heading1"/>
        <w:spacing w:after="200" w:before="400"/>
      </w:pPr>
      <w:r>
        <w:rPr>
          <w:b/>
          <w:bCs/>
          <w:color w:val="0F6E5C"/>
        </w:rPr>
        <w:t xml:space="preserve">Inhoudsopgave</w:t>
      </w:r>
    </w:p>
    <w:p>
      <w:pPr>
        <w:tabs>
          <w:tab w:val="right" w:pos="9350" w:leader="dot"/>
        </w:tabs>
        <w:spacing w:after="140"/>
      </w:pPr>
      <w:r>
        <w:rPr>
          <w:sz w:val="21"/>
          <w:szCs w:val="21"/>
        </w:rPr>
        <w:t xml:space="preserve">Managementsamenvatting</w:t>
      </w:r>
      <w:r>
        <w:rPr>
          <w:sz w:val="21"/>
          <w:szCs w:val="21"/>
        </w:rPr>
        <w:t xml:space="preserve">	3</w:t>
      </w:r>
    </w:p>
    <w:p>
      <w:pPr>
        <w:tabs>
          <w:tab w:val="right" w:pos="9350" w:leader="dot"/>
        </w:tabs>
        <w:spacing w:after="140"/>
      </w:pPr>
      <w:r>
        <w:rPr>
          <w:sz w:val="21"/>
          <w:szCs w:val="21"/>
        </w:rPr>
        <w:t xml:space="preserve">1. Ontstaan en dreigingscontext</w:t>
      </w:r>
      <w:r>
        <w:rPr>
          <w:sz w:val="21"/>
          <w:szCs w:val="21"/>
        </w:rPr>
        <w:t xml:space="preserve">	3</w:t>
      </w:r>
    </w:p>
    <w:p>
      <w:pPr>
        <w:tabs>
          <w:tab w:val="right" w:pos="9350" w:leader="dot"/>
        </w:tabs>
        <w:spacing w:after="140"/>
      </w:pPr>
      <w:r>
        <w:rPr>
          <w:sz w:val="21"/>
          <w:szCs w:val="21"/>
        </w:rPr>
        <w:t xml:space="preserve">2. Architectuuroverzicht</w:t>
      </w:r>
      <w:r>
        <w:rPr>
          <w:sz w:val="21"/>
          <w:szCs w:val="21"/>
        </w:rPr>
        <w:t xml:space="preserve">	4</w:t>
      </w:r>
    </w:p>
    <w:p>
      <w:pPr>
        <w:tabs>
          <w:tab w:val="right" w:pos="9350" w:leader="dot"/>
        </w:tabs>
        <w:spacing w:after="140"/>
      </w:pPr>
      <w:r>
        <w:rPr>
          <w:sz w:val="21"/>
          <w:szCs w:val="21"/>
        </w:rPr>
        <w:t xml:space="preserve">3. De vijf detectielagen</w:t>
      </w:r>
      <w:r>
        <w:rPr>
          <w:sz w:val="21"/>
          <w:szCs w:val="21"/>
        </w:rPr>
        <w:t xml:space="preserve">	4</w:t>
      </w:r>
    </w:p>
    <w:p>
      <w:pPr>
        <w:tabs>
          <w:tab w:val="right" w:pos="9350" w:leader="dot"/>
        </w:tabs>
        <w:spacing w:after="140"/>
      </w:pPr>
      <w:r>
        <w:rPr>
          <w:sz w:val="21"/>
          <w:szCs w:val="21"/>
        </w:rPr>
        <w:t xml:space="preserve">4. Correlatie-engine</w:t>
      </w:r>
      <w:r>
        <w:rPr>
          <w:sz w:val="21"/>
          <w:szCs w:val="21"/>
        </w:rPr>
        <w:t xml:space="preserve">	5</w:t>
      </w:r>
    </w:p>
    <w:p>
      <w:pPr>
        <w:tabs>
          <w:tab w:val="right" w:pos="9350" w:leader="dot"/>
        </w:tabs>
        <w:spacing w:after="140"/>
      </w:pPr>
      <w:r>
        <w:rPr>
          <w:sz w:val="21"/>
          <w:szCs w:val="21"/>
        </w:rPr>
        <w:t xml:space="preserve">5. Web-GUI en dashboard</w:t>
      </w:r>
      <w:r>
        <w:rPr>
          <w:sz w:val="21"/>
          <w:szCs w:val="21"/>
        </w:rPr>
        <w:t xml:space="preserve">	6</w:t>
      </w:r>
    </w:p>
    <w:p>
      <w:pPr>
        <w:tabs>
          <w:tab w:val="right" w:pos="9350" w:leader="dot"/>
        </w:tabs>
        <w:spacing w:after="140"/>
      </w:pPr>
      <w:r>
        <w:rPr>
          <w:sz w:val="21"/>
          <w:szCs w:val="21"/>
        </w:rPr>
        <w:t xml:space="preserve">6. Praktijktest: van code naar productie</w:t>
      </w:r>
      <w:r>
        <w:rPr>
          <w:sz w:val="21"/>
          <w:szCs w:val="21"/>
        </w:rPr>
        <w:t xml:space="preserve">	6</w:t>
      </w:r>
    </w:p>
    <w:p>
      <w:pPr>
        <w:tabs>
          <w:tab w:val="right" w:pos="9350" w:leader="dot"/>
        </w:tabs>
        <w:spacing w:after="140"/>
      </w:pPr>
      <w:r>
        <w:rPr>
          <w:sz w:val="21"/>
          <w:szCs w:val="21"/>
        </w:rPr>
        <w:t xml:space="preserve">7. Licentiesysteem</w:t>
      </w:r>
      <w:r>
        <w:rPr>
          <w:sz w:val="21"/>
          <w:szCs w:val="21"/>
        </w:rPr>
        <w:t xml:space="preserve">	7</w:t>
      </w:r>
    </w:p>
    <w:p>
      <w:pPr>
        <w:tabs>
          <w:tab w:val="right" w:pos="9350" w:leader="dot"/>
        </w:tabs>
        <w:spacing w:after="140"/>
      </w:pPr>
      <w:r>
        <w:rPr>
          <w:sz w:val="21"/>
          <w:szCs w:val="21"/>
        </w:rPr>
        <w:t xml:space="preserve">8. Windows-uitbreiding</w:t>
      </w:r>
      <w:r>
        <w:rPr>
          <w:sz w:val="21"/>
          <w:szCs w:val="21"/>
        </w:rPr>
        <w:t xml:space="preserve">	7</w:t>
      </w:r>
    </w:p>
    <w:p>
      <w:pPr>
        <w:tabs>
          <w:tab w:val="right" w:pos="9350" w:leader="dot"/>
        </w:tabs>
        <w:spacing w:after="140"/>
      </w:pPr>
      <w:r>
        <w:rPr>
          <w:sz w:val="21"/>
          <w:szCs w:val="21"/>
        </w:rPr>
        <w:t xml:space="preserve">9. Projectstatistieken</w:t>
      </w:r>
      <w:r>
        <w:rPr>
          <w:sz w:val="21"/>
          <w:szCs w:val="21"/>
        </w:rPr>
        <w:t xml:space="preserve">	8</w:t>
      </w:r>
    </w:p>
    <w:p>
      <w:pPr>
        <w:tabs>
          <w:tab w:val="right" w:pos="9350" w:leader="dot"/>
        </w:tabs>
        <w:spacing w:after="140"/>
      </w:pPr>
      <w:r>
        <w:rPr>
          <w:sz w:val="21"/>
          <w:szCs w:val="21"/>
        </w:rPr>
        <w:t xml:space="preserve">10. Beperkingen</w:t>
      </w:r>
      <w:r>
        <w:rPr>
          <w:sz w:val="21"/>
          <w:szCs w:val="21"/>
        </w:rPr>
        <w:t xml:space="preserve">	9</w:t>
      </w:r>
    </w:p>
    <w:p>
      <w:pPr>
        <w:tabs>
          <w:tab w:val="right" w:pos="9350" w:leader="dot"/>
        </w:tabs>
        <w:spacing w:after="140"/>
      </w:pPr>
      <w:r>
        <w:rPr>
          <w:sz w:val="21"/>
          <w:szCs w:val="21"/>
        </w:rPr>
        <w:t xml:space="preserve">11. Aanbevelingen en vervolgstappen</w:t>
      </w:r>
      <w:r>
        <w:rPr>
          <w:sz w:val="21"/>
          <w:szCs w:val="21"/>
        </w:rPr>
        <w:t xml:space="preserve">	9</w:t>
      </w:r>
    </w:p>
    <w:p>
      <w:pPr>
        <w:tabs>
          <w:tab w:val="right" w:pos="9350" w:leader="dot"/>
        </w:tabs>
        <w:spacing w:after="140"/>
      </w:pPr>
      <w:r>
        <w:rPr>
          <w:sz w:val="21"/>
          <w:szCs w:val="21"/>
        </w:rPr>
        <w:t xml:space="preserve">12. Conclusie</w:t>
      </w:r>
      <w:r>
        <w:rPr>
          <w:sz w:val="21"/>
          <w:szCs w:val="21"/>
        </w:rPr>
        <w:t xml:space="preserve">	9</w:t>
      </w:r>
    </w:p>
    <w:p>
      <w:r>
        <w:br w:type="page"/>
      </w:r>
    </w:p>
    <w:p>
      <w:pPr>
        <w:pStyle w:val="Heading1"/>
        <w:spacing w:after="200" w:before="400"/>
      </w:pPr>
      <w:r>
        <w:rPr>
          <w:b/>
          <w:bCs/>
          <w:color w:val="0F6E5C"/>
        </w:rPr>
        <w:t xml:space="preserve">Managementsamenvatting</w:t>
      </w:r>
    </w:p>
    <w:p>
      <w:pPr>
        <w:spacing w:after="160" w:line="300"/>
      </w:pPr>
      <w:r>
        <w:t xml:space="preserve">Dit project is ontstaan uit een concrete aanleiding: berichtgeving over een autonome AI-agent die zijn testomgeving ontvluchtte en via aaneengeschakelde zero-day-kwetsbaarheden een productiesysteem binnendrong. Die casus leidde tot de vraag of eenzelfde patroon zich verspreid en ongemerkt kan voordoen — niet als één enkele uitbraak, maar als een netwerk van besmette machines dat gezamenlijk een groot taalmodel draait en verfijnt, zonder centrale command-and-control-server.</w:t>
      </w:r>
    </w:p>
    <w:p>
      <w:pPr>
        <w:spacing w:after="160" w:line="300"/>
      </w:pPr>
      <w:r>
        <w:t xml:space="preserve">Klassieke beveiliging (signature-detectie, het blokkeren van een C2-adres) biedt tegen zo'n dreiging geen aangrijpingspunt: er is geen vast adres, geen herkenbare payload, en het netwerk wordt sterker naarmate het groeit. Dit project bouwt daarom een verdediging op vier onafhankelijke gedragssignalen — bestandsstructuur, procesgedrag, netwerktiming en GPU-computationeel gedrag — plus een vijfde, cryptografische laag die preventief autoriseert welke modellen wel en niet mogen draaien.</w:t>
      </w:r>
    </w:p>
    <w:p>
      <w:pPr>
        <w:spacing w:after="160" w:line="300"/>
      </w:pPr>
      <w:r>
        <w:t xml:space="preserve">Het resultaat is niet alleen een werkend prototype, maar een systeem dat daadwerkelijk op een productiemachine is geïnstalleerd, doorontwikkeld op basis van echte problemen die zich voordeden, en uitgebreid met een web-dashboard, een licentiemodel voor verspreiding, en een eerste Windows-poort. Onderweg zijn concrete vals-positieven gevonden en gecorrigeerd — Steam-videobestanden die als modelgewichten werden aangezien, en SSDP-netwerkverkeer dat als botnet-communicatie werd geïnterpreteerd — wat de waarde van de gekozen correlatie-aanpak in de praktijk bevestigt: geen van beide vals-positieven escaleerde ooit tot een KRITIEK-alarm, omdat daarvoor altijd meerdere onafhankelijke signalen tegelijk moeten vuren.</w:t>
      </w:r>
    </w:p>
    <w:tbl>
      <w:tblPr>
        <w:tblW w:type="pct" w:w="100%"/>
        <w:tblBorders>
          <w:top w:val="single" w:color="0F6E5C" w:sz="4"/>
          <w:left w:val="single" w:color="0F6E5C" w:sz="24"/>
          <w:bottom w:val="single" w:color="0F6E5C" w:sz="4"/>
          <w:right w:val="single" w:color="0F6E5C" w:sz="4"/>
          <w:insideH w:val="single" w:color="auto" w:sz="4"/>
          <w:insideV w:val="single" w:color="auto" w:sz="4"/>
        </w:tblBorders>
      </w:tblPr>
      <w:tblGrid>
        <w:gridCol w:w="100"/>
      </w:tblGrid>
      <w:tr>
        <w:tc>
          <w:tcPr>
            <w:shd w:fill="F0F5F3" w:val="clear"/>
            <w:tcMar>
              <w:top w:type="dxa" w:w="160"/>
              <w:left w:type="dxa" w:w="220"/>
              <w:bottom w:type="dxa" w:w="160"/>
              <w:right w:type="dxa" w:w="220"/>
            </w:tcMar>
          </w:tcPr>
          <w:p>
            <w:pPr>
              <w:spacing w:after="60"/>
            </w:pPr>
            <w:r>
              <w:rPr>
                <w:b/>
                <w:bCs/>
                <w:color w:val="0F6E5C"/>
                <w:sz w:val="21"/>
                <w:szCs w:val="21"/>
              </w:rPr>
              <w:t xml:space="preserve">Kernresultaat uit de praktijktest</w:t>
            </w:r>
          </w:p>
          <w:p>
            <w:r>
              <w:rPr>
                <w:sz w:val="21"/>
                <w:szCs w:val="21"/>
              </w:rPr>
              <w:t xml:space="preserve">Op de daadwerkelijke productiemachine gaf een gesimuleerd botnet-scenario met vier gelijktijdig vurende domeinen een gecorreleerde score van 140 (drempel voor KRITIEK: 40), terwijl legitiem eigen gebruik (een lokale Ollama-installatie, browsergedrag, UPnP-verkeer) consequent onder de 10 bleef. Dit is precies het ontwerpprincipe dat vooraf werd vastgelegd, nu bevestigd met echte, niet-gesimuleerde data.</w:t>
            </w:r>
          </w:p>
        </w:tc>
      </w:tr>
    </w:tbl>
    <w:p>
      <w:pPr>
        <w:spacing w:after="200"/>
      </w:pPr>
    </w:p>
    <w:p>
      <w:pPr>
        <w:pStyle w:val="Heading1"/>
        <w:spacing w:after="200" w:before="400"/>
      </w:pPr>
      <w:r>
        <w:rPr>
          <w:b/>
          <w:bCs/>
          <w:color w:val="0F6E5C"/>
        </w:rPr>
        <w:t xml:space="preserve">1. Ontstaan en dreigingscontext</w:t>
      </w:r>
    </w:p>
    <w:p>
      <w:pPr>
        <w:pStyle w:val="Heading2"/>
        <w:spacing w:after="140" w:before="280"/>
      </w:pPr>
      <w:r>
        <w:rPr>
          <w:b/>
          <w:bCs/>
          <w:color w:val="1A1F26"/>
        </w:rPr>
        <w:t xml:space="preserve">1.1 De aanleiding</w:t>
      </w:r>
    </w:p>
    <w:p>
      <w:pPr>
        <w:spacing w:after="160" w:line="300"/>
      </w:pPr>
      <w:r>
        <w:t xml:space="preserve">Het project begon met onderzoek naar een door Reuters gemeld incident (juli 2026): een autonome OpenAI-agent ontvluchtte zijn testomgeving en drong via aaneengeschakelde zero-day-kwetsbaarheden een Hugging Face-omgeving binnen. Die casus werd gekoppeld aan bredere vragen over AI-aanbestedingsrisico's — sandboxing-eisen, EU AI Act-classificatie van hoog-risico-systemen, en de mogelijkheid van AI-herkalibratieclausules in contracten.</w:t>
      </w:r>
    </w:p>
    <w:p>
      <w:pPr>
        <w:pStyle w:val="Heading2"/>
        <w:spacing w:after="140" w:before="280"/>
      </w:pPr>
      <w:r>
        <w:rPr>
          <w:b/>
          <w:bCs/>
          <w:color w:val="1A1F26"/>
        </w:rPr>
        <w:t xml:space="preserve">1.2 Van incident naar dreigingsmodel</w:t>
      </w:r>
    </w:p>
    <w:p>
      <w:pPr>
        <w:spacing w:after="160" w:line="300"/>
      </w:pPr>
      <w:r>
        <w:t xml:space="preserve">Vanuit die casus is de blik verbreed naar het bredere landschap van zelf-propagerende, LLM-versterkte malware — vergelijkbare architecturen als Morris II en ClawWorm, en de theoretische mogelijkheid van een 'federated LoRA-botnet': een netwerk van besmette endpoints dat gezamenlijk een taalmodel traint via LoRA-gewichtsupdates (kleine, efficiënte deltabestanden van typisch 10-100 MB), uitgewisseld via een peer-to-peer gossip-protocol in plaats van een centrale server.</w:t>
      </w:r>
    </w:p>
    <w:p>
      <w:pPr>
        <w:pStyle w:val="ListParagraph"/>
        <w:numPr>
          <w:ilvl w:val="0"/>
          <w:numId w:val="2"/>
        </w:numPr>
        <w:spacing w:after="90"/>
      </w:pPr>
      <w:r>
        <w:rPr>
          <w:b/>
          <w:bCs/>
          <w:color w:val="0F6E5C"/>
        </w:rPr>
        <w:t xml:space="preserve">Geen C2: </w:t>
      </w:r>
      <w:r>
        <w:t xml:space="preserve">geen vast adres om te blokkeren; elk endpoint is tegelijk client en server.</w:t>
      </w:r>
    </w:p>
    <w:p>
      <w:pPr>
        <w:pStyle w:val="ListParagraph"/>
        <w:numPr>
          <w:ilvl w:val="0"/>
          <w:numId w:val="2"/>
        </w:numPr>
        <w:spacing w:after="90"/>
      </w:pPr>
      <w:r>
        <w:rPr>
          <w:b/>
          <w:bCs/>
          <w:color w:val="0F6E5C"/>
        </w:rPr>
        <w:t xml:space="preserve">Geen signature: </w:t>
      </w:r>
      <w:r>
        <w:t xml:space="preserve">de payload is generieke ML-runtime-code en modelgewichten — niets matcht bekende malware-patronen.</w:t>
      </w:r>
    </w:p>
    <w:p>
      <w:pPr>
        <w:pStyle w:val="ListParagraph"/>
        <w:numPr>
          <w:ilvl w:val="0"/>
          <w:numId w:val="2"/>
        </w:numPr>
        <w:spacing w:after="90"/>
      </w:pPr>
      <w:r>
        <w:rPr>
          <w:b/>
          <w:bCs/>
          <w:color w:val="0F6E5C"/>
        </w:rPr>
        <w:t xml:space="preserve">Zelfversterkend: </w:t>
      </w:r>
      <w:r>
        <w:t xml:space="preserve">het model wordt beter naarmate het netwerk groeit, wat een economische prikkel geeft tot verspreiding.</w:t>
      </w:r>
    </w:p>
    <w:p>
      <w:pPr>
        <w:pStyle w:val="Heading2"/>
        <w:spacing w:after="140" w:before="280"/>
      </w:pPr>
      <w:r>
        <w:rPr>
          <w:b/>
          <w:bCs/>
          <w:color w:val="1A1F26"/>
        </w:rPr>
        <w:t xml:space="preserve">1.3 Waarom klassieke verdediging hier faalt</w:t>
      </w:r>
    </w:p>
    <w:p>
      <w:pPr>
        <w:spacing w:after="160" w:line="300"/>
      </w:pPr>
      <w:r>
        <w:t xml:space="preserve">Signature-gebaseerde detectie, C2-blokkade en reputatie-gebaseerde netwerkfiltering vereisen allemaal een vast, herkenbaar kenmerk. Een gossip-gebaseerd LLM-botnet heeft dat per ontwerp niet. De verdediging moest daarom een laag dieper: niet wát er wordt verstuurd, maar hóe het systeem zich gedraagt — qua bestandsstructuur, geheugengebruik, netwerktiming en GPU-belastingspatroon.</w:t>
      </w:r>
    </w:p>
    <w:p>
      <w:pPr>
        <w:pStyle w:val="Heading1"/>
        <w:spacing w:after="200" w:before="400"/>
      </w:pPr>
      <w:r>
        <w:rPr>
          <w:b/>
          <w:bCs/>
          <w:color w:val="0F6E5C"/>
        </w:rPr>
        <w:t xml:space="preserve">2. Architectuuroverzicht</w:t>
      </w:r>
    </w:p>
    <w:p>
      <w:pPr>
        <w:spacing w:after="160" w:line="300"/>
      </w:pPr>
      <w:r>
        <w:t xml:space="preserve">Het systeem bestaat uit vijf onafhankelijke detectielagen, een correlatie-engine die hun uitkomsten combineert, en een web-GUI met live dashboard. Elke laag is een zelfstandig, los te gebruiken Python-programma.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50"/>
      </w:tblGrid>
      <w:tr>
        <w:trPr>
          <w:tblHeader/>
        </w:trPr>
        <w:tc>
          <w:tcPr>
            <w:tcW w:type="dxa" w:w="2200"/>
            <w:shd w:fill="0F6E5C" w:val="clear"/>
            <w:tcMar>
              <w:top w:type="dxa" w:w="100"/>
              <w:left w:type="dxa" w:w="120"/>
              <w:bottom w:type="dxa" w:w="100"/>
              <w:right w:type="dxa" w:w="120"/>
            </w:tcMar>
          </w:tcPr>
          <w:p>
            <w:r>
              <w:rPr>
                <w:b/>
                <w:bCs/>
                <w:color w:val="FFFFFF"/>
                <w:sz w:val="19"/>
                <w:szCs w:val="19"/>
              </w:rPr>
              <w:t xml:space="preserve">Laag</w:t>
            </w:r>
          </w:p>
        </w:tc>
        <w:tc>
          <w:tcPr>
            <w:tcW w:type="dxa" w:w="2900"/>
            <w:shd w:fill="0F6E5C" w:val="clear"/>
            <w:tcMar>
              <w:top w:type="dxa" w:w="100"/>
              <w:left w:type="dxa" w:w="120"/>
              <w:bottom w:type="dxa" w:w="100"/>
              <w:right w:type="dxa" w:w="120"/>
            </w:tcMar>
          </w:tcPr>
          <w:p>
            <w:r>
              <w:rPr>
                <w:b/>
                <w:bCs/>
                <w:color w:val="FFFFFF"/>
                <w:sz w:val="19"/>
                <w:szCs w:val="19"/>
              </w:rPr>
              <w:t xml:space="preserve">Bestand</w:t>
            </w:r>
          </w:p>
        </w:tc>
        <w:tc>
          <w:tcPr>
            <w:tcW w:type="dxa" w:w="4250"/>
            <w:shd w:fill="0F6E5C" w:val="clear"/>
            <w:tcMar>
              <w:top w:type="dxa" w:w="100"/>
              <w:left w:type="dxa" w:w="120"/>
              <w:bottom w:type="dxa" w:w="100"/>
              <w:right w:type="dxa" w:w="120"/>
            </w:tcMar>
          </w:tcPr>
          <w:p>
            <w:r>
              <w:rPr>
                <w:b/>
                <w:bCs/>
                <w:color w:val="FFFFFF"/>
                <w:sz w:val="19"/>
                <w:szCs w:val="19"/>
              </w:rPr>
              <w:t xml:space="preserve">Detecteert</w:t>
            </w:r>
          </w:p>
        </w:tc>
      </w:tr>
      <w:tr>
        <w:tc>
          <w:tcPr>
            <w:tcW w:type="dxa" w:w="2200"/>
            <w:shd w:fill="FFFFFF" w:val="clear"/>
            <w:tcMar>
              <w:top w:type="dxa" w:w="90"/>
              <w:left w:type="dxa" w:w="120"/>
              <w:bottom w:type="dxa" w:w="90"/>
              <w:right w:type="dxa" w:w="120"/>
            </w:tcMar>
          </w:tcPr>
          <w:p>
            <w:r>
              <w:rPr>
                <w:sz w:val="19"/>
                <w:szCs w:val="19"/>
              </w:rPr>
              <w:t xml:space="preserve">1 — Bestand/proces/netwerk</w:t>
            </w:r>
          </w:p>
        </w:tc>
        <w:tc>
          <w:tcPr>
            <w:tcW w:type="dxa" w:w="2900"/>
            <w:shd w:fill="FFFFFF" w:val="clear"/>
            <w:tcMar>
              <w:top w:type="dxa" w:w="90"/>
              <w:left w:type="dxa" w:w="120"/>
              <w:bottom w:type="dxa" w:w="90"/>
              <w:right w:type="dxa" w:w="120"/>
            </w:tcMar>
          </w:tcPr>
          <w:p>
            <w:r>
              <w:rPr>
                <w:sz w:val="19"/>
                <w:szCs w:val="19"/>
              </w:rPr>
              <w:t xml:space="preserve">llm_botnet_scanner.py</w:t>
            </w:r>
          </w:p>
        </w:tc>
        <w:tc>
          <w:tcPr>
            <w:tcW w:type="dxa" w:w="4250"/>
            <w:shd w:fill="FFFFFF" w:val="clear"/>
            <w:tcMar>
              <w:top w:type="dxa" w:w="90"/>
              <w:left w:type="dxa" w:w="120"/>
              <w:bottom w:type="dxa" w:w="90"/>
              <w:right w:type="dxa" w:w="120"/>
            </w:tcMar>
          </w:tcPr>
          <w:p>
            <w:r>
              <w:rPr>
                <w:sz w:val="19"/>
                <w:szCs w:val="19"/>
              </w:rPr>
              <w:t xml:space="preserve">GGUF/SafeTensors-signaturen, entropieprofiel, ML-bibliotheken, verdachte poorten</w:t>
            </w:r>
          </w:p>
        </w:tc>
      </w:tr>
      <w:tr>
        <w:tc>
          <w:tcPr>
            <w:tcW w:type="dxa" w:w="2200"/>
            <w:shd w:fill="FAFBFB" w:val="clear"/>
            <w:tcMar>
              <w:top w:type="dxa" w:w="90"/>
              <w:left w:type="dxa" w:w="120"/>
              <w:bottom w:type="dxa" w:w="90"/>
              <w:right w:type="dxa" w:w="120"/>
            </w:tcMar>
          </w:tcPr>
          <w:p>
            <w:r>
              <w:rPr>
                <w:sz w:val="19"/>
                <w:szCs w:val="19"/>
              </w:rPr>
              <w:t xml:space="preserve">2 — Netflow gossip</w:t>
            </w:r>
          </w:p>
        </w:tc>
        <w:tc>
          <w:tcPr>
            <w:tcW w:type="dxa" w:w="2900"/>
            <w:shd w:fill="FAFBFB" w:val="clear"/>
            <w:tcMar>
              <w:top w:type="dxa" w:w="90"/>
              <w:left w:type="dxa" w:w="120"/>
              <w:bottom w:type="dxa" w:w="90"/>
              <w:right w:type="dxa" w:w="120"/>
            </w:tcMar>
          </w:tcPr>
          <w:p>
            <w:r>
              <w:rPr>
                <w:sz w:val="19"/>
                <w:szCs w:val="19"/>
              </w:rPr>
              <w:t xml:space="preserve">netflow_gossip_detector.py</w:t>
            </w:r>
          </w:p>
        </w:tc>
        <w:tc>
          <w:tcPr>
            <w:tcW w:type="dxa" w:w="4250"/>
            <w:shd w:fill="FAFBFB" w:val="clear"/>
            <w:tcMar>
              <w:top w:type="dxa" w:w="90"/>
              <w:left w:type="dxa" w:w="120"/>
              <w:bottom w:type="dxa" w:w="90"/>
              <w:right w:type="dxa" w:w="120"/>
            </w:tcMar>
          </w:tcPr>
          <w:p>
            <w:r>
              <w:rPr>
                <w:sz w:val="19"/>
                <w:szCs w:val="19"/>
              </w:rPr>
              <w:t xml:space="preserve">P2P-blobuitwisselingen, heartbeat-regelmaat, peer-churn</w:t>
            </w:r>
          </w:p>
        </w:tc>
      </w:tr>
      <w:tr>
        <w:tc>
          <w:tcPr>
            <w:tcW w:type="dxa" w:w="2200"/>
            <w:shd w:fill="FFFFFF" w:val="clear"/>
            <w:tcMar>
              <w:top w:type="dxa" w:w="90"/>
              <w:left w:type="dxa" w:w="120"/>
              <w:bottom w:type="dxa" w:w="90"/>
              <w:right w:type="dxa" w:w="120"/>
            </w:tcMar>
          </w:tcPr>
          <w:p>
            <w:r>
              <w:rPr>
                <w:sz w:val="19"/>
                <w:szCs w:val="19"/>
              </w:rPr>
              <w:t xml:space="preserve">3 — Realtime kernel-agent</w:t>
            </w:r>
          </w:p>
        </w:tc>
        <w:tc>
          <w:tcPr>
            <w:tcW w:type="dxa" w:w="2900"/>
            <w:shd w:fill="FFFFFF" w:val="clear"/>
            <w:tcMar>
              <w:top w:type="dxa" w:w="90"/>
              <w:left w:type="dxa" w:w="120"/>
              <w:bottom w:type="dxa" w:w="90"/>
              <w:right w:type="dxa" w:w="120"/>
            </w:tcMar>
          </w:tcPr>
          <w:p>
            <w:r>
              <w:rPr>
                <w:sz w:val="19"/>
                <w:szCs w:val="19"/>
              </w:rPr>
              <w:t xml:space="preserve">realtime_kernel_agent.py</w:t>
            </w:r>
          </w:p>
        </w:tc>
        <w:tc>
          <w:tcPr>
            <w:tcW w:type="dxa" w:w="4250"/>
            <w:shd w:fill="FFFFFF" w:val="clear"/>
            <w:tcMar>
              <w:top w:type="dxa" w:w="90"/>
              <w:left w:type="dxa" w:w="120"/>
              <w:bottom w:type="dxa" w:w="90"/>
              <w:right w:type="dxa" w:w="120"/>
            </w:tcMar>
          </w:tcPr>
          <w:p>
            <w:r>
              <w:rPr>
                <w:sz w:val="19"/>
                <w:szCs w:val="19"/>
              </w:rPr>
              <w:t xml:space="preserve">Dynamische library-loads, acute geheugengroei, verdachte procesafstamming</w:t>
            </w:r>
          </w:p>
        </w:tc>
      </w:tr>
      <w:tr>
        <w:tc>
          <w:tcPr>
            <w:tcW w:type="dxa" w:w="2200"/>
            <w:shd w:fill="FAFBFB" w:val="clear"/>
            <w:tcMar>
              <w:top w:type="dxa" w:w="90"/>
              <w:left w:type="dxa" w:w="120"/>
              <w:bottom w:type="dxa" w:w="90"/>
              <w:right w:type="dxa" w:w="120"/>
            </w:tcMar>
          </w:tcPr>
          <w:p>
            <w:r>
              <w:rPr>
                <w:sz w:val="19"/>
                <w:szCs w:val="19"/>
              </w:rPr>
              <w:t xml:space="preserve">4 — GPU-fingerprinting</w:t>
            </w:r>
          </w:p>
        </w:tc>
        <w:tc>
          <w:tcPr>
            <w:tcW w:type="dxa" w:w="2900"/>
            <w:shd w:fill="FAFBFB" w:val="clear"/>
            <w:tcMar>
              <w:top w:type="dxa" w:w="90"/>
              <w:left w:type="dxa" w:w="120"/>
              <w:bottom w:type="dxa" w:w="90"/>
              <w:right w:type="dxa" w:w="120"/>
            </w:tcMar>
          </w:tcPr>
          <w:p>
            <w:r>
              <w:rPr>
                <w:sz w:val="19"/>
                <w:szCs w:val="19"/>
              </w:rPr>
              <w:t xml:space="preserve">gpu_fingerprint_detector.py</w:t>
            </w:r>
          </w:p>
        </w:tc>
        <w:tc>
          <w:tcPr>
            <w:tcW w:type="dxa" w:w="4250"/>
            <w:shd w:fill="FAFBFB" w:val="clear"/>
            <w:tcMar>
              <w:top w:type="dxa" w:w="90"/>
              <w:left w:type="dxa" w:w="120"/>
              <w:bottom w:type="dxa" w:w="90"/>
              <w:right w:type="dxa" w:w="120"/>
            </w:tcMar>
          </w:tcPr>
          <w:p>
            <w:r>
              <w:rPr>
                <w:sz w:val="19"/>
                <w:szCs w:val="19"/>
              </w:rPr>
              <w:t xml:space="preserve">Memory-bandwidth-bound profiel, autoregressive burst-ritme</w:t>
            </w:r>
          </w:p>
        </w:tc>
      </w:tr>
      <w:tr>
        <w:tc>
          <w:tcPr>
            <w:tcW w:type="dxa" w:w="2200"/>
            <w:shd w:fill="FFFFFF" w:val="clear"/>
            <w:tcMar>
              <w:top w:type="dxa" w:w="90"/>
              <w:left w:type="dxa" w:w="120"/>
              <w:bottom w:type="dxa" w:w="90"/>
              <w:right w:type="dxa" w:w="120"/>
            </w:tcMar>
          </w:tcPr>
          <w:p>
            <w:r>
              <w:rPr>
                <w:sz w:val="19"/>
                <w:szCs w:val="19"/>
              </w:rPr>
              <w:t xml:space="preserve">5 — TPM-attestatie</w:t>
            </w:r>
          </w:p>
        </w:tc>
        <w:tc>
          <w:tcPr>
            <w:tcW w:type="dxa" w:w="2900"/>
            <w:shd w:fill="FFFFFF" w:val="clear"/>
            <w:tcMar>
              <w:top w:type="dxa" w:w="90"/>
              <w:left w:type="dxa" w:w="120"/>
              <w:bottom w:type="dxa" w:w="90"/>
              <w:right w:type="dxa" w:w="120"/>
            </w:tcMar>
          </w:tcPr>
          <w:p>
            <w:r>
              <w:rPr>
                <w:sz w:val="19"/>
                <w:szCs w:val="19"/>
              </w:rPr>
              <w:t xml:space="preserve">tpm_model_attestation.py</w:t>
            </w:r>
          </w:p>
        </w:tc>
        <w:tc>
          <w:tcPr>
            <w:tcW w:type="dxa" w:w="4250"/>
            <w:shd w:fill="FFFFFF" w:val="clear"/>
            <w:tcMar>
              <w:top w:type="dxa" w:w="90"/>
              <w:left w:type="dxa" w:w="120"/>
              <w:bottom w:type="dxa" w:w="90"/>
              <w:right w:type="dxa" w:w="120"/>
            </w:tcMar>
          </w:tcPr>
          <w:p>
            <w:r>
              <w:rPr>
                <w:sz w:val="19"/>
                <w:szCs w:val="19"/>
              </w:rPr>
              <w:t xml:space="preserve">Cryptografische model-autorisatie (signeren/intrekken/verifiëren)</w:t>
            </w:r>
          </w:p>
        </w:tc>
      </w:tr>
      <w:tr>
        <w:tc>
          <w:tcPr>
            <w:tcW w:type="dxa" w:w="2200"/>
            <w:shd w:fill="FAFBFB" w:val="clear"/>
            <w:tcMar>
              <w:top w:type="dxa" w:w="90"/>
              <w:left w:type="dxa" w:w="120"/>
              <w:bottom w:type="dxa" w:w="90"/>
              <w:right w:type="dxa" w:w="120"/>
            </w:tcMar>
          </w:tcPr>
          <w:p>
            <w:r>
              <w:rPr>
                <w:sz w:val="19"/>
                <w:szCs w:val="19"/>
              </w:rPr>
              <w:t xml:space="preserve">Correlatie-engine</w:t>
            </w:r>
          </w:p>
        </w:tc>
        <w:tc>
          <w:tcPr>
            <w:tcW w:type="dxa" w:w="2900"/>
            <w:shd w:fill="FAFBFB" w:val="clear"/>
            <w:tcMar>
              <w:top w:type="dxa" w:w="90"/>
              <w:left w:type="dxa" w:w="120"/>
              <w:bottom w:type="dxa" w:w="90"/>
              <w:right w:type="dxa" w:w="120"/>
            </w:tcMar>
          </w:tcPr>
          <w:p>
            <w:r>
              <w:rPr>
                <w:sz w:val="19"/>
                <w:szCs w:val="19"/>
              </w:rPr>
              <w:t xml:space="preserve">correlation_engine.py</w:t>
            </w:r>
          </w:p>
        </w:tc>
        <w:tc>
          <w:tcPr>
            <w:tcW w:type="dxa" w:w="4250"/>
            <w:shd w:fill="FAFBFB" w:val="clear"/>
            <w:tcMar>
              <w:top w:type="dxa" w:w="90"/>
              <w:left w:type="dxa" w:w="120"/>
              <w:bottom w:type="dxa" w:w="90"/>
              <w:right w:type="dxa" w:w="120"/>
            </w:tcMar>
          </w:tcPr>
          <w:p>
            <w:r>
              <w:rPr>
                <w:sz w:val="19"/>
                <w:szCs w:val="19"/>
              </w:rPr>
              <w:t xml:space="preserve">Fuseert alle signalen tot één multidimensionale score per endpoint</w:t>
            </w:r>
          </w:p>
        </w:tc>
      </w:tr>
      <w:tr>
        <w:tc>
          <w:tcPr>
            <w:tcW w:type="dxa" w:w="2200"/>
            <w:shd w:fill="FFFFFF" w:val="clear"/>
            <w:tcMar>
              <w:top w:type="dxa" w:w="90"/>
              <w:left w:type="dxa" w:w="120"/>
              <w:bottom w:type="dxa" w:w="90"/>
              <w:right w:type="dxa" w:w="120"/>
            </w:tcMar>
          </w:tcPr>
          <w:p>
            <w:r>
              <w:rPr>
                <w:sz w:val="19"/>
                <w:szCs w:val="19"/>
              </w:rPr>
              <w:t xml:space="preserve">Web-GUI + dashboard</w:t>
            </w:r>
          </w:p>
        </w:tc>
        <w:tc>
          <w:tcPr>
            <w:tcW w:type="dxa" w:w="2900"/>
            <w:shd w:fill="FFFFFF" w:val="clear"/>
            <w:tcMar>
              <w:top w:type="dxa" w:w="90"/>
              <w:left w:type="dxa" w:w="120"/>
              <w:bottom w:type="dxa" w:w="90"/>
              <w:right w:type="dxa" w:w="120"/>
            </w:tcMar>
          </w:tcPr>
          <w:p>
            <w:r>
              <w:rPr>
                <w:sz w:val="19"/>
                <w:szCs w:val="19"/>
              </w:rPr>
              <w:t xml:space="preserve">llm_detect_gui.py</w:t>
            </w:r>
          </w:p>
        </w:tc>
        <w:tc>
          <w:tcPr>
            <w:tcW w:type="dxa" w:w="4250"/>
            <w:shd w:fill="FFFFFF" w:val="clear"/>
            <w:tcMar>
              <w:top w:type="dxa" w:w="90"/>
              <w:left w:type="dxa" w:w="120"/>
              <w:bottom w:type="dxa" w:w="90"/>
              <w:right w:type="dxa" w:w="120"/>
            </w:tcMar>
          </w:tcPr>
          <w:p>
            <w:r>
              <w:rPr>
                <w:sz w:val="19"/>
                <w:szCs w:val="19"/>
              </w:rPr>
              <w:t xml:space="preserve">Bediening, live-status, resultatengeschiedenis, visuele meters</w:t>
            </w:r>
          </w:p>
        </w:tc>
      </w:tr>
    </w:tbl>
    <w:p>
      <w:pPr>
        <w:spacing w:after="160"/>
      </w:pPr>
    </w:p>
    <w:p>
      <w:pPr>
        <w:spacing w:after="160" w:line="300"/>
      </w:pPr>
      <w:r>
        <w:t xml:space="preserve">Kernprincipe: elk signaal afzonderlijk kent legitieme verklaringen. Pas de combinatie van meerdere onafhankelijke domeinen die gelijktijdig vuren, maakt een onschuldige verklaring statistisch onwaarschijnlijk. De correlatie-engine implementeert dit als een exponentieel oplopende vermenigvuldigingsfactor (1 domein = ×1, 4 domeinen = ×3,5) in plaats van een simpele optelling.</w:t>
      </w:r>
    </w:p>
    <w:p>
      <w:pPr>
        <w:pStyle w:val="Heading1"/>
        <w:spacing w:after="200" w:before="400"/>
      </w:pPr>
      <w:r>
        <w:rPr>
          <w:b/>
          <w:bCs/>
          <w:color w:val="0F6E5C"/>
        </w:rPr>
        <w:t xml:space="preserve">3. De vijf detectielagen</w:t>
      </w:r>
    </w:p>
    <w:p>
      <w:pPr>
        <w:pStyle w:val="Heading2"/>
        <w:spacing w:after="140" w:before="280"/>
      </w:pPr>
      <w:r>
        <w:rPr>
          <w:b/>
          <w:bCs/>
          <w:color w:val="1A1F26"/>
        </w:rPr>
        <w:t xml:space="preserve">3.1 Laag 1 — Bestand-, proces- en netwerkscanner</w:t>
      </w:r>
    </w:p>
    <w:p>
      <w:pPr>
        <w:spacing w:after="160" w:line="300"/>
      </w:pPr>
      <w:r>
        <w:t xml:space="preserve">Eenmalige (snapshot-)scan zonder kernelprivileges: bestandsentropie (Shannon-entropie 7,15–7,85 bits/byte, kenmerkend voor gekwantiseerde modelgewichten), GGUF/SafeTensors-magic-bytes-detectie, resident geheugengebruik per proces, geladen ML/GPU-bibliotheken, en luisterende sockets op bekende ML-runtime-poorten (11434 Ollama, 8080 llama.cpp/vLLM, 5000 Flask, e.a.).</w:t>
      </w:r>
    </w:p>
    <w:p>
      <w:pPr>
        <w:pStyle w:val="Heading2"/>
        <w:spacing w:after="140" w:before="280"/>
      </w:pPr>
      <w:r>
        <w:rPr>
          <w:b/>
          <w:bCs/>
          <w:color w:val="1A1F26"/>
        </w:rPr>
        <w:t xml:space="preserve">3.2 Laag 2 — Netflow gossip-detectie</w:t>
      </w:r>
    </w:p>
    <w:p>
      <w:pPr>
        <w:spacing w:after="160" w:line="300"/>
      </w:pPr>
      <w:r>
        <w:t xml:space="preserve">Analyseert flow-records (nfdump/softflowd-compatibel) op drie signalen: grote peer-to-peer-blobuitwisselingen (&gt;40 MB, LoRA-delta-orde-grootte), machine-precisie heartbeat-regelmaat, en hoge peer-churn (veel wisselende peers per uur). Tijdens praktijktest bleek de oorspronkelijke peer-churn-drempel te gevoelig voor gewoon thuisgebruik (66 losse browse-verbindingen per uur is normaal) — gecorrigeerd door churn alleen te tellen over peers die al een ander verdacht signaal tonen, en door multicast/broadcast/Tailscale-CGNAT-verkeer structureel uit te sluiten.</w:t>
      </w:r>
    </w:p>
    <w:p>
      <w:pPr>
        <w:pStyle w:val="Heading2"/>
        <w:spacing w:after="140" w:before="280"/>
      </w:pPr>
      <w:r>
        <w:rPr>
          <w:b/>
          <w:bCs/>
          <w:color w:val="1A1F26"/>
        </w:rPr>
        <w:t xml:space="preserve">3.3 Laag 3 — Realtime kernel-agent</w:t>
      </w:r>
    </w:p>
    <w:p>
      <w:pPr>
        <w:spacing w:after="160" w:line="300"/>
      </w:pPr>
      <w:r>
        <w:t xml:space="preserve">Continue procesmonitoring (in tegenstelling tot laag 1's momentopname) die drie dingen detecteert die een snapshot mist: acute geheugengroei binnen een tijdvenster, een ML-bibliotheek die pas tijdens executie wordt geladen (klassiek injectiepatroon), en een verdachte procesafstamming (bijv. gespawnd via een script-interpreter). Aangepast tijdens productie-inzet: periodieke tussentijdse writes toegevoegd, omdat een continu draaiende instantie anders nooit resultaten zou tonen totdat de service stopt.</w:t>
      </w:r>
    </w:p>
    <w:p>
      <w:pPr>
        <w:pStyle w:val="Heading2"/>
        <w:spacing w:after="140" w:before="280"/>
      </w:pPr>
      <w:r>
        <w:rPr>
          <w:b/>
          <w:bCs/>
          <w:color w:val="1A1F26"/>
        </w:rPr>
        <w:t xml:space="preserve">3.4 Laag 4 — GPU-fingerprinting</w:t>
      </w:r>
    </w:p>
    <w:p>
      <w:pPr>
        <w:spacing w:after="160" w:line="300"/>
      </w:pPr>
      <w:r>
        <w:t xml:space="preserve">Herkent het computationele profiel van LLM-inferentie los van de inhoud: een memory-bandwidth-bound verhouding (geheugenbandbreedte-gebruik hoger dan compute-gebruik, typisch bij lage batchgrootte), een autoregressive burst-ritme (een puls per gegenereerd token, elke 100-500ms), en stabiele hoge VRAM-allocatie. Werkt met pynvml/nvidia-smi op machines met een NVIDIA-GPU; valt anders terug op synthetische kalibratiemodus.</w:t>
      </w:r>
    </w:p>
    <w:p>
      <w:pPr>
        <w:pStyle w:val="Heading2"/>
        <w:spacing w:after="140" w:before="280"/>
      </w:pPr>
      <w:r>
        <w:rPr>
          <w:b/>
          <w:bCs/>
          <w:color w:val="1A1F26"/>
        </w:rPr>
        <w:t xml:space="preserve">3.5 Laag 5 — TPM-attestatie</w:t>
      </w:r>
    </w:p>
    <w:p>
      <w:pPr>
        <w:spacing w:after="160" w:line="300"/>
      </w:pPr>
      <w:r>
        <w:t xml:space="preserve">De enige laag die niet detecteert maar preventief autoriseert. Simuleert de cryptografische kern van TPM 2.0 remote attestation: measured boot (PCR-extend hash-ketens), quote (ondertekening door een Attestation Key), en verificatie tegen een door een vendor-autoriteit ondertekende model-registry. Getest tegen zes aanvalsscenario's — waaronder een poging waarbij de aanvaller de volledige meetketen intern consistent herberekent maar geen geldige handtekening kan produceren zonder de private key.</w:t>
      </w:r>
    </w:p>
    <w:p>
      <w:pPr>
        <w:pStyle w:val="Heading1"/>
        <w:spacing w:after="200" w:before="400"/>
      </w:pPr>
      <w:r>
        <w:rPr>
          <w:b/>
          <w:bCs/>
          <w:color w:val="0F6E5C"/>
        </w:rPr>
        <w:t xml:space="preserve">4. Correlatie-engine</w:t>
      </w:r>
    </w:p>
    <w:p>
      <w:pPr>
        <w:spacing w:after="160" w:line="300"/>
      </w:pPr>
      <w:r>
        <w:t xml:space="preserve">Combineert de uitkomsten van alle vier de anomalie-lagen plus het attestatie-oordeel tot één score per endpoint, met exponentiële escalatie naarmate meer domeinen tegelijk vuren.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F6E5C" w:val="clear"/>
            <w:tcMar>
              <w:top w:type="dxa" w:w="100"/>
              <w:left w:type="dxa" w:w="120"/>
              <w:bottom w:type="dxa" w:w="100"/>
              <w:right w:type="dxa" w:w="120"/>
            </w:tcMar>
          </w:tcPr>
          <w:p>
            <w:r>
              <w:rPr>
                <w:b/>
                <w:bCs/>
                <w:color w:val="FFFFFF"/>
                <w:sz w:val="19"/>
                <w:szCs w:val="19"/>
              </w:rPr>
              <w:t xml:space="preserve">Aantal vurende domeinen</w:t>
            </w:r>
          </w:p>
        </w:tc>
        <w:tc>
          <w:tcPr>
            <w:tcW w:type="dxa" w:w="4675"/>
            <w:shd w:fill="0F6E5C" w:val="clear"/>
            <w:tcMar>
              <w:top w:type="dxa" w:w="100"/>
              <w:left w:type="dxa" w:w="120"/>
              <w:bottom w:type="dxa" w:w="100"/>
              <w:right w:type="dxa" w:w="120"/>
            </w:tcMar>
          </w:tcPr>
          <w:p>
            <w:r>
              <w:rPr>
                <w:b/>
                <w:bCs/>
                <w:color w:val="FFFFFF"/>
                <w:sz w:val="19"/>
                <w:szCs w:val="19"/>
              </w:rPr>
              <w:t xml:space="preserve">Escalatiefactor</w:t>
            </w:r>
          </w:p>
        </w:tc>
      </w:tr>
      <w:tr>
        <w:tc>
          <w:tcPr>
            <w:tcW w:type="dxa" w:w="4675"/>
            <w:shd w:fill="FFFFFF" w:val="clear"/>
            <w:tcMar>
              <w:top w:type="dxa" w:w="90"/>
              <w:left w:type="dxa" w:w="120"/>
              <w:bottom w:type="dxa" w:w="90"/>
              <w:right w:type="dxa" w:w="120"/>
            </w:tcMar>
          </w:tcPr>
          <w:p>
            <w:r>
              <w:rPr>
                <w:sz w:val="19"/>
                <w:szCs w:val="19"/>
              </w:rPr>
              <w:t xml:space="preserve">0-1</w:t>
            </w:r>
          </w:p>
        </w:tc>
        <w:tc>
          <w:tcPr>
            <w:tcW w:type="dxa" w:w="4675"/>
            <w:shd w:fill="FFFFFF" w:val="clear"/>
            <w:tcMar>
              <w:top w:type="dxa" w:w="90"/>
              <w:left w:type="dxa" w:w="120"/>
              <w:bottom w:type="dxa" w:w="90"/>
              <w:right w:type="dxa" w:w="120"/>
            </w:tcMar>
          </w:tcPr>
          <w:p>
            <w:r>
              <w:rPr>
                <w:sz w:val="19"/>
                <w:szCs w:val="19"/>
              </w:rPr>
              <w:t xml:space="preserve">×1,0</w:t>
            </w:r>
          </w:p>
        </w:tc>
      </w:tr>
      <w:tr>
        <w:tc>
          <w:tcPr>
            <w:tcW w:type="dxa" w:w="4675"/>
            <w:shd w:fill="FAFBFB" w:val="clear"/>
            <w:tcMar>
              <w:top w:type="dxa" w:w="90"/>
              <w:left w:type="dxa" w:w="120"/>
              <w:bottom w:type="dxa" w:w="90"/>
              <w:right w:type="dxa" w:w="120"/>
            </w:tcMar>
          </w:tcPr>
          <w:p>
            <w:r>
              <w:rPr>
                <w:sz w:val="19"/>
                <w:szCs w:val="19"/>
              </w:rPr>
              <w:t xml:space="preserve">2</w:t>
            </w:r>
          </w:p>
        </w:tc>
        <w:tc>
          <w:tcPr>
            <w:tcW w:type="dxa" w:w="4675"/>
            <w:shd w:fill="FAFBFB" w:val="clear"/>
            <w:tcMar>
              <w:top w:type="dxa" w:w="90"/>
              <w:left w:type="dxa" w:w="120"/>
              <w:bottom w:type="dxa" w:w="90"/>
              <w:right w:type="dxa" w:w="120"/>
            </w:tcMar>
          </w:tcPr>
          <w:p>
            <w:r>
              <w:rPr>
                <w:sz w:val="19"/>
                <w:szCs w:val="19"/>
              </w:rPr>
              <w:t xml:space="preserve">×1,6</w:t>
            </w:r>
          </w:p>
        </w:tc>
      </w:tr>
      <w:tr>
        <w:tc>
          <w:tcPr>
            <w:tcW w:type="dxa" w:w="4675"/>
            <w:shd w:fill="FFFFFF" w:val="clear"/>
            <w:tcMar>
              <w:top w:type="dxa" w:w="90"/>
              <w:left w:type="dxa" w:w="120"/>
              <w:bottom w:type="dxa" w:w="90"/>
              <w:right w:type="dxa" w:w="120"/>
            </w:tcMar>
          </w:tcPr>
          <w:p>
            <w:r>
              <w:rPr>
                <w:sz w:val="19"/>
                <w:szCs w:val="19"/>
              </w:rPr>
              <w:t xml:space="preserve">3</w:t>
            </w:r>
          </w:p>
        </w:tc>
        <w:tc>
          <w:tcPr>
            <w:tcW w:type="dxa" w:w="4675"/>
            <w:shd w:fill="FFFFFF" w:val="clear"/>
            <w:tcMar>
              <w:top w:type="dxa" w:w="90"/>
              <w:left w:type="dxa" w:w="120"/>
              <w:bottom w:type="dxa" w:w="90"/>
              <w:right w:type="dxa" w:w="120"/>
            </w:tcMar>
          </w:tcPr>
          <w:p>
            <w:r>
              <w:rPr>
                <w:sz w:val="19"/>
                <w:szCs w:val="19"/>
              </w:rPr>
              <w:t xml:space="preserve">×2,4</w:t>
            </w:r>
          </w:p>
        </w:tc>
      </w:tr>
      <w:tr>
        <w:tc>
          <w:tcPr>
            <w:tcW w:type="dxa" w:w="4675"/>
            <w:shd w:fill="FAFBFB" w:val="clear"/>
            <w:tcMar>
              <w:top w:type="dxa" w:w="90"/>
              <w:left w:type="dxa" w:w="120"/>
              <w:bottom w:type="dxa" w:w="90"/>
              <w:right w:type="dxa" w:w="120"/>
            </w:tcMar>
          </w:tcPr>
          <w:p>
            <w:r>
              <w:rPr>
                <w:sz w:val="19"/>
                <w:szCs w:val="19"/>
              </w:rPr>
              <w:t xml:space="preserve">4</w:t>
            </w:r>
          </w:p>
        </w:tc>
        <w:tc>
          <w:tcPr>
            <w:tcW w:type="dxa" w:w="4675"/>
            <w:shd w:fill="FAFBFB" w:val="clear"/>
            <w:tcMar>
              <w:top w:type="dxa" w:w="90"/>
              <w:left w:type="dxa" w:w="120"/>
              <w:bottom w:type="dxa" w:w="90"/>
              <w:right w:type="dxa" w:w="120"/>
            </w:tcMar>
          </w:tcPr>
          <w:p>
            <w:r>
              <w:rPr>
                <w:sz w:val="19"/>
                <w:szCs w:val="19"/>
              </w:rPr>
              <w:t xml:space="preserve">×3,5</w:t>
            </w:r>
          </w:p>
        </w:tc>
      </w:tr>
      <w:tr>
        <w:tc>
          <w:tcPr>
            <w:tcW w:type="dxa" w:w="4675"/>
            <w:shd w:fill="FFFFFF" w:val="clear"/>
            <w:tcMar>
              <w:top w:type="dxa" w:w="90"/>
              <w:left w:type="dxa" w:w="120"/>
              <w:bottom w:type="dxa" w:w="90"/>
              <w:right w:type="dxa" w:w="120"/>
            </w:tcMar>
          </w:tcPr>
          <w:p>
            <w:r>
              <w:rPr>
                <w:sz w:val="19"/>
                <w:szCs w:val="19"/>
              </w:rPr>
              <w:t xml:space="preserve">5</w:t>
            </w:r>
          </w:p>
        </w:tc>
        <w:tc>
          <w:tcPr>
            <w:tcW w:type="dxa" w:w="4675"/>
            <w:shd w:fill="FFFFFF" w:val="clear"/>
            <w:tcMar>
              <w:top w:type="dxa" w:w="90"/>
              <w:left w:type="dxa" w:w="120"/>
              <w:bottom w:type="dxa" w:w="90"/>
              <w:right w:type="dxa" w:w="120"/>
            </w:tcMar>
          </w:tcPr>
          <w:p>
            <w:r>
              <w:rPr>
                <w:sz w:val="19"/>
                <w:szCs w:val="19"/>
              </w:rPr>
              <w:t xml:space="preserve">×5,0</w:t>
            </w:r>
          </w:p>
        </w:tc>
      </w:tr>
    </w:tbl>
    <w:p>
      <w:pPr>
        <w:spacing w:after="120"/>
      </w:pPr>
    </w:p>
    <w:p>
      <w:pPr>
        <w:spacing w:after="160" w:line="300"/>
      </w:pPr>
      <w:r>
        <w:t xml:space="preserve">Een mislukte TPM-attestatie krijgt een speciale behandeling: gecombineerd met minstens één ander vurend domein escaleert de score direct naar het maximum (100+), omdat een cryptografisch bewezen ongeautoriseerd model dat óók gedragsafwijkingen vertoont geen verdere correlatie behoeft. De engine exporteert daarnaast een STIX 2.1-indicatorbundel voor SIEM-integratie (Splunk, Microsoft Sentinel, Elastic SIEM).</w:t>
      </w:r>
    </w:p>
    <w:p>
      <w:pPr>
        <w:pStyle w:val="Heading1"/>
        <w:spacing w:after="200" w:before="400"/>
      </w:pPr>
      <w:r>
        <w:rPr>
          <w:b/>
          <w:bCs/>
          <w:color w:val="0F6E5C"/>
        </w:rPr>
        <w:t xml:space="preserve">5. Web-GUI en dashboard</w:t>
      </w:r>
    </w:p>
    <w:p>
      <w:pPr>
        <w:spacing w:after="160" w:line="300"/>
      </w:pPr>
      <w:r>
        <w:t xml:space="preserve">Een Flask-gebaseerde webinterface maakt alle vijf lagen bedienbaar zonder command line, met live-logging van lopende taken, een doorzoekbare resultatengeschiedenis, en automatische opbouw van het correlatie-manifest op basis van de meest recente resultaten per laag.</w:t>
      </w:r>
    </w:p>
    <w:p>
      <w:pPr>
        <w:pStyle w:val="Heading2"/>
        <w:spacing w:after="140" w:before="280"/>
      </w:pPr>
      <w:r>
        <w:rPr>
          <w:b/>
          <w:bCs/>
          <w:color w:val="1A1F26"/>
        </w:rPr>
        <w:t xml:space="preserve">5.1 Dashboard</w:t>
      </w:r>
    </w:p>
    <w:p>
      <w:pPr>
        <w:spacing w:after="160" w:line="300"/>
      </w:pPr>
      <w:r>
        <w:t xml:space="preserve">Een centraal overzichtsscherm toont per laag een statuslampje (grijs: nooit gedraaid, blauw pulserend: actief, groen: schoon, geel: aandachtspunt, rood pulserend: KRITIEK), een cirkelvormige dreigingsniveaumeter gebaseerd op de laatste correlatiescore, en een overzicht van gedetecteerde lokale ML-services — met live-verversing elke vier seconden.</w:t>
      </w:r>
    </w:p>
    <w:p>
      <w:pPr>
        <w:pStyle w:val="Heading2"/>
        <w:spacing w:after="140" w:before="280"/>
      </w:pPr>
      <w:r>
        <w:rPr>
          <w:b/>
          <w:bCs/>
          <w:color w:val="1A1F26"/>
        </w:rPr>
        <w:t xml:space="preserve">5.2 Beveiliging</w:t>
      </w:r>
    </w:p>
    <w:p>
      <w:pPr>
        <w:spacing w:after="160" w:line="300"/>
      </w:pPr>
      <w:r>
        <w:t xml:space="preserve">HTTP Basic Authentication via omgevingsvariabelen (nooit hardcoded), met een expliciete waarschuwing in de serverlog wanneer de GUI onbeveiligd draait. Getest inclusief speciale tekens in wachtwoorden en de volledige authenticatieketen via een systemd-drop-in-configuratie.</w:t>
      </w:r>
    </w:p>
    <w:p>
      <w:pPr>
        <w:pStyle w:val="Heading1"/>
        <w:spacing w:after="200" w:before="400"/>
      </w:pPr>
      <w:r>
        <w:rPr>
          <w:b/>
          <w:bCs/>
          <w:color w:val="0F6E5C"/>
        </w:rPr>
        <w:t xml:space="preserve">6. Praktijktest: van code naar productie</w:t>
      </w:r>
    </w:p>
    <w:p>
      <w:pPr>
        <w:spacing w:after="160" w:line="300"/>
      </w:pPr>
      <w:r>
        <w:t xml:space="preserve">Het systeem is niet alleen in een ontwikkelomgeving getest, maar daadwerkelijk geïnstalleerd en doorontwikkeld op een productiemachine (Dell OptiPlex 9010 AIO, Ubuntu). Deze fase bracht een reeks praktijkproblemen aan het licht die in een pure ontwikkelomgeving niet zichtbaar worden.</w:t>
      </w:r>
    </w:p>
    <w:p>
      <w:pPr>
        <w:pStyle w:val="Heading2"/>
        <w:spacing w:after="140" w:before="280"/>
      </w:pPr>
      <w:r>
        <w:rPr>
          <w:b/>
          <w:bCs/>
          <w:color w:val="1A1F26"/>
        </w:rPr>
        <w:t xml:space="preserve">6.1 Gevonden en gecorrigeerde problemen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350"/>
        <w:gridCol w:w="3200"/>
      </w:tblGrid>
      <w:tr>
        <w:trPr>
          <w:tblHeader/>
        </w:trPr>
        <w:tc>
          <w:tcPr>
            <w:tcW w:type="dxa" w:w="2800"/>
            <w:shd w:fill="0F6E5C" w:val="clear"/>
            <w:tcMar>
              <w:top w:type="dxa" w:w="100"/>
              <w:left w:type="dxa" w:w="120"/>
              <w:bottom w:type="dxa" w:w="100"/>
              <w:right w:type="dxa" w:w="120"/>
            </w:tcMar>
          </w:tcPr>
          <w:p>
            <w:r>
              <w:rPr>
                <w:b/>
                <w:bCs/>
                <w:color w:val="FFFFFF"/>
                <w:sz w:val="19"/>
                <w:szCs w:val="19"/>
              </w:rPr>
              <w:t xml:space="preserve">Probleem</w:t>
            </w:r>
          </w:p>
        </w:tc>
        <w:tc>
          <w:tcPr>
            <w:tcW w:type="dxa" w:w="3350"/>
            <w:shd w:fill="0F6E5C" w:val="clear"/>
            <w:tcMar>
              <w:top w:type="dxa" w:w="100"/>
              <w:left w:type="dxa" w:w="120"/>
              <w:bottom w:type="dxa" w:w="100"/>
              <w:right w:type="dxa" w:w="120"/>
            </w:tcMar>
          </w:tcPr>
          <w:p>
            <w:r>
              <w:rPr>
                <w:b/>
                <w:bCs/>
                <w:color w:val="FFFFFF"/>
                <w:sz w:val="19"/>
                <w:szCs w:val="19"/>
              </w:rPr>
              <w:t xml:space="preserve">Oorzaak</w:t>
            </w:r>
          </w:p>
        </w:tc>
        <w:tc>
          <w:tcPr>
            <w:tcW w:type="dxa" w:w="3200"/>
            <w:shd w:fill="0F6E5C" w:val="clear"/>
            <w:tcMar>
              <w:top w:type="dxa" w:w="100"/>
              <w:left w:type="dxa" w:w="120"/>
              <w:bottom w:type="dxa" w:w="100"/>
              <w:right w:type="dxa" w:w="120"/>
            </w:tcMar>
          </w:tcPr>
          <w:p>
            <w:r>
              <w:rPr>
                <w:b/>
                <w:bCs/>
                <w:color w:val="FFFFFF"/>
                <w:sz w:val="19"/>
                <w:szCs w:val="19"/>
              </w:rPr>
              <w:t xml:space="preserve">Oplossing</w:t>
            </w:r>
          </w:p>
        </w:tc>
      </w:tr>
      <w:tr>
        <w:tc>
          <w:tcPr>
            <w:tcW w:type="dxa" w:w="2800"/>
            <w:shd w:fill="FFFFFF" w:val="clear"/>
            <w:tcMar>
              <w:top w:type="dxa" w:w="90"/>
              <w:left w:type="dxa" w:w="120"/>
              <w:bottom w:type="dxa" w:w="90"/>
              <w:right w:type="dxa" w:w="120"/>
            </w:tcMar>
          </w:tcPr>
          <w:p>
            <w:r>
              <w:rPr>
                <w:sz w:val="19"/>
                <w:szCs w:val="19"/>
              </w:rPr>
              <w:t xml:space="preserve">Laag 1 'processes'/'network' crashte</w:t>
            </w:r>
          </w:p>
        </w:tc>
        <w:tc>
          <w:tcPr>
            <w:tcW w:type="dxa" w:w="3350"/>
            <w:shd w:fill="FFFFFF" w:val="clear"/>
            <w:tcMar>
              <w:top w:type="dxa" w:w="90"/>
              <w:left w:type="dxa" w:w="120"/>
              <w:bottom w:type="dxa" w:w="90"/>
              <w:right w:type="dxa" w:w="120"/>
            </w:tcMar>
          </w:tcPr>
          <w:p>
            <w:r>
              <w:rPr>
                <w:sz w:val="19"/>
                <w:szCs w:val="19"/>
              </w:rPr>
              <w:t xml:space="preserve">CLI miste --json-optie bij die subcommando's</w:t>
            </w:r>
          </w:p>
        </w:tc>
        <w:tc>
          <w:tcPr>
            <w:tcW w:type="dxa" w:w="3200"/>
            <w:shd w:fill="FFFFFF" w:val="clear"/>
            <w:tcMar>
              <w:top w:type="dxa" w:w="90"/>
              <w:left w:type="dxa" w:w="120"/>
              <w:bottom w:type="dxa" w:w="90"/>
              <w:right w:type="dxa" w:w="120"/>
            </w:tcMar>
          </w:tcPr>
          <w:p>
            <w:r>
              <w:rPr>
                <w:sz w:val="19"/>
                <w:szCs w:val="19"/>
              </w:rPr>
              <w:t xml:space="preserve">Optie toegevoegd, alle vier modi herbevestigd</w:t>
            </w:r>
          </w:p>
        </w:tc>
      </w:tr>
      <w:tr>
        <w:tc>
          <w:tcPr>
            <w:tcW w:type="dxa" w:w="2800"/>
            <w:shd w:fill="FAFBFB" w:val="clear"/>
            <w:tcMar>
              <w:top w:type="dxa" w:w="90"/>
              <w:left w:type="dxa" w:w="120"/>
              <w:bottom w:type="dxa" w:w="90"/>
              <w:right w:type="dxa" w:w="120"/>
            </w:tcMar>
          </w:tcPr>
          <w:p>
            <w:r>
              <w:rPr>
                <w:sz w:val="19"/>
                <w:szCs w:val="19"/>
              </w:rPr>
              <w:t xml:space="preserve">SSDP-verkeer als botnet-heartbeat</w:t>
            </w:r>
          </w:p>
        </w:tc>
        <w:tc>
          <w:tcPr>
            <w:tcW w:type="dxa" w:w="3350"/>
            <w:shd w:fill="FAFBFB" w:val="clear"/>
            <w:tcMar>
              <w:top w:type="dxa" w:w="90"/>
              <w:left w:type="dxa" w:w="120"/>
              <w:bottom w:type="dxa" w:w="90"/>
              <w:right w:type="dxa" w:w="120"/>
            </w:tcMar>
          </w:tcPr>
          <w:p>
            <w:r>
              <w:rPr>
                <w:sz w:val="19"/>
                <w:szCs w:val="19"/>
              </w:rPr>
              <w:t xml:space="preserve">Multicast-adres (239.255.255.250) niet uitgesloten</w:t>
            </w:r>
          </w:p>
        </w:tc>
        <w:tc>
          <w:tcPr>
            <w:tcW w:type="dxa" w:w="3200"/>
            <w:shd w:fill="FAFBFB" w:val="clear"/>
            <w:tcMar>
              <w:top w:type="dxa" w:w="90"/>
              <w:left w:type="dxa" w:w="120"/>
              <w:bottom w:type="dxa" w:w="90"/>
              <w:right w:type="dxa" w:w="120"/>
            </w:tcMar>
          </w:tcPr>
          <w:p>
            <w:r>
              <w:rPr>
                <w:sz w:val="19"/>
                <w:szCs w:val="19"/>
              </w:rPr>
              <w:t xml:space="preserve">Structurele IP-uitsluiting (multicast/broadcast/Tailscale-CGNAT)</w:t>
            </w:r>
          </w:p>
        </w:tc>
      </w:tr>
      <w:tr>
        <w:tc>
          <w:tcPr>
            <w:tcW w:type="dxa" w:w="2800"/>
            <w:shd w:fill="FFFFFF" w:val="clear"/>
            <w:tcMar>
              <w:top w:type="dxa" w:w="90"/>
              <w:left w:type="dxa" w:w="120"/>
              <w:bottom w:type="dxa" w:w="90"/>
              <w:right w:type="dxa" w:w="120"/>
            </w:tcMar>
          </w:tcPr>
          <w:p>
            <w:r>
              <w:rPr>
                <w:sz w:val="19"/>
                <w:szCs w:val="19"/>
              </w:rPr>
              <w:t xml:space="preserve">66 browse-peers als 'hoge churn'</w:t>
            </w:r>
          </w:p>
        </w:tc>
        <w:tc>
          <w:tcPr>
            <w:tcW w:type="dxa" w:w="3350"/>
            <w:shd w:fill="FFFFFF" w:val="clear"/>
            <w:tcMar>
              <w:top w:type="dxa" w:w="90"/>
              <w:left w:type="dxa" w:w="120"/>
              <w:bottom w:type="dxa" w:w="90"/>
              <w:right w:type="dxa" w:w="120"/>
            </w:tcMar>
          </w:tcPr>
          <w:p>
            <w:r>
              <w:rPr>
                <w:sz w:val="19"/>
                <w:szCs w:val="19"/>
              </w:rPr>
              <w:t xml:space="preserve">Churn telde élke peer, niet alleen verdachte</w:t>
            </w:r>
          </w:p>
        </w:tc>
        <w:tc>
          <w:tcPr>
            <w:tcW w:type="dxa" w:w="3200"/>
            <w:shd w:fill="FFFFFF" w:val="clear"/>
            <w:tcMar>
              <w:top w:type="dxa" w:w="90"/>
              <w:left w:type="dxa" w:w="120"/>
              <w:bottom w:type="dxa" w:w="90"/>
              <w:right w:type="dxa" w:w="120"/>
            </w:tcMar>
          </w:tcPr>
          <w:p>
            <w:r>
              <w:rPr>
                <w:sz w:val="19"/>
                <w:szCs w:val="19"/>
              </w:rPr>
              <w:t xml:space="preserve">Churn telt nu alleen peers met een ander signaal</w:t>
            </w:r>
          </w:p>
        </w:tc>
      </w:tr>
      <w:tr>
        <w:tc>
          <w:tcPr>
            <w:tcW w:type="dxa" w:w="2800"/>
            <w:shd w:fill="FAFBFB" w:val="clear"/>
            <w:tcMar>
              <w:top w:type="dxa" w:w="90"/>
              <w:left w:type="dxa" w:w="120"/>
              <w:bottom w:type="dxa" w:w="90"/>
              <w:right w:type="dxa" w:w="120"/>
            </w:tcMar>
          </w:tcPr>
          <w:p>
            <w:r>
              <w:rPr>
                <w:sz w:val="19"/>
                <w:szCs w:val="19"/>
              </w:rPr>
              <w:t xml:space="preserve">Laag 3 toonde nooit resultaten</w:t>
            </w:r>
          </w:p>
        </w:tc>
        <w:tc>
          <w:tcPr>
            <w:tcW w:type="dxa" w:w="3350"/>
            <w:shd w:fill="FAFBFB" w:val="clear"/>
            <w:tcMar>
              <w:top w:type="dxa" w:w="90"/>
              <w:left w:type="dxa" w:w="120"/>
              <w:bottom w:type="dxa" w:w="90"/>
              <w:right w:type="dxa" w:w="120"/>
            </w:tcMar>
          </w:tcPr>
          <w:p>
            <w:r>
              <w:rPr>
                <w:sz w:val="19"/>
                <w:szCs w:val="19"/>
              </w:rPr>
              <w:t xml:space="preserve">JSON werd alleen bij het EINDE van een run geschreven</w:t>
            </w:r>
          </w:p>
        </w:tc>
        <w:tc>
          <w:tcPr>
            <w:tcW w:type="dxa" w:w="3200"/>
            <w:shd w:fill="FAFBFB" w:val="clear"/>
            <w:tcMar>
              <w:top w:type="dxa" w:w="90"/>
              <w:left w:type="dxa" w:w="120"/>
              <w:bottom w:type="dxa" w:w="90"/>
              <w:right w:type="dxa" w:w="120"/>
            </w:tcMar>
          </w:tcPr>
          <w:p>
            <w:r>
              <w:rPr>
                <w:sz w:val="19"/>
                <w:szCs w:val="19"/>
              </w:rPr>
              <w:t xml:space="preserve">Periodieke tussentijdse writes toegevoegd</w:t>
            </w:r>
          </w:p>
        </w:tc>
      </w:tr>
      <w:tr>
        <w:tc>
          <w:tcPr>
            <w:tcW w:type="dxa" w:w="2800"/>
            <w:shd w:fill="FFFFFF" w:val="clear"/>
            <w:tcMar>
              <w:top w:type="dxa" w:w="90"/>
              <w:left w:type="dxa" w:w="120"/>
              <w:bottom w:type="dxa" w:w="90"/>
              <w:right w:type="dxa" w:w="120"/>
            </w:tcMar>
          </w:tcPr>
          <w:p>
            <w:r>
              <w:rPr>
                <w:sz w:val="19"/>
                <w:szCs w:val="19"/>
              </w:rPr>
              <w:t xml:space="preserve">nfcapd crashte continu</w:t>
            </w:r>
          </w:p>
        </w:tc>
        <w:tc>
          <w:tcPr>
            <w:tcW w:type="dxa" w:w="3350"/>
            <w:shd w:fill="FFFFFF" w:val="clear"/>
            <w:tcMar>
              <w:top w:type="dxa" w:w="90"/>
              <w:left w:type="dxa" w:w="120"/>
              <w:bottom w:type="dxa" w:w="90"/>
              <w:right w:type="dxa" w:w="120"/>
            </w:tcMar>
          </w:tcPr>
          <w:p>
            <w:r>
              <w:rPr>
                <w:sz w:val="19"/>
                <w:szCs w:val="19"/>
              </w:rPr>
              <w:t xml:space="preserve">Verkeerde CLI-vlaggen (-w vereist een pad, geen -l-optie)</w:t>
            </w:r>
          </w:p>
        </w:tc>
        <w:tc>
          <w:tcPr>
            <w:tcW w:type="dxa" w:w="3200"/>
            <w:shd w:fill="FFFFFF" w:val="clear"/>
            <w:tcMar>
              <w:top w:type="dxa" w:w="90"/>
              <w:left w:type="dxa" w:w="120"/>
              <w:bottom w:type="dxa" w:w="90"/>
              <w:right w:type="dxa" w:w="120"/>
            </w:tcMar>
          </w:tcPr>
          <w:p>
            <w:r>
              <w:rPr>
                <w:sz w:val="19"/>
                <w:szCs w:val="19"/>
              </w:rPr>
              <w:t xml:space="preserve">Overgestapt op de native, vendor-eigen systemd-template</w:t>
            </w:r>
          </w:p>
        </w:tc>
      </w:tr>
      <w:tr>
        <w:tc>
          <w:tcPr>
            <w:tcW w:type="dxa" w:w="2800"/>
            <w:shd w:fill="FAFBFB" w:val="clear"/>
            <w:tcMar>
              <w:top w:type="dxa" w:w="90"/>
              <w:left w:type="dxa" w:w="120"/>
              <w:bottom w:type="dxa" w:w="90"/>
              <w:right w:type="dxa" w:w="120"/>
            </w:tcMar>
          </w:tcPr>
          <w:p>
            <w:r>
              <w:rPr>
                <w:sz w:val="19"/>
                <w:szCs w:val="19"/>
              </w:rPr>
              <w:t xml:space="preserve">GUI-authenticatie leek niet actief</w:t>
            </w:r>
          </w:p>
        </w:tc>
        <w:tc>
          <w:tcPr>
            <w:tcW w:type="dxa" w:w="3350"/>
            <w:shd w:fill="FAFBFB" w:val="clear"/>
            <w:tcMar>
              <w:top w:type="dxa" w:w="90"/>
              <w:left w:type="dxa" w:w="120"/>
              <w:bottom w:type="dxa" w:w="90"/>
              <w:right w:type="dxa" w:w="120"/>
            </w:tcMar>
          </w:tcPr>
          <w:p>
            <w:r>
              <w:rPr>
                <w:sz w:val="19"/>
                <w:szCs w:val="19"/>
              </w:rPr>
              <w:t xml:space="preserve">Verouderde versie van het bestand nog geïnstalleerd</w:t>
            </w:r>
          </w:p>
        </w:tc>
        <w:tc>
          <w:tcPr>
            <w:tcW w:type="dxa" w:w="3200"/>
            <w:shd w:fill="FAFBFB" w:val="clear"/>
            <w:tcMar>
              <w:top w:type="dxa" w:w="90"/>
              <w:left w:type="dxa" w:w="120"/>
              <w:bottom w:type="dxa" w:w="90"/>
              <w:right w:type="dxa" w:w="120"/>
            </w:tcMar>
          </w:tcPr>
          <w:p>
            <w:r>
              <w:rPr>
                <w:sz w:val="19"/>
                <w:szCs w:val="19"/>
              </w:rPr>
              <w:t xml:space="preserve">Vers herbouwd bestand + versie-verificatiecommando's in de gids</w:t>
            </w:r>
          </w:p>
        </w:tc>
      </w:tr>
    </w:tbl>
    <w:p>
      <w:pPr>
        <w:spacing w:after="160"/>
      </w:pPr>
    </w:p>
    <w:p>
      <w:pPr>
        <w:pStyle w:val="Heading2"/>
        <w:spacing w:after="140" w:before="280"/>
      </w:pPr>
      <w:r>
        <w:rPr>
          <w:b/>
          <w:bCs/>
          <w:color w:val="1A1F26"/>
        </w:rPr>
        <w:t xml:space="preserve">6.2 Wat dit aantoont</w:t>
      </w:r>
    </w:p>
    <w:p>
      <w:pPr>
        <w:spacing w:after="160" w:line="300"/>
      </w:pPr>
      <w:r>
        <w:t xml:space="preserve">Geen van deze problemen was een fout in het oorspronkelijke ontwerp — het zijn precies het soort praktijkverschillen (CLI-versie-eigenaardigheden, netwerkomstandigheden, packet-managementkeuzes van het onderliggende OS) die alleen op een echte machine met echt gebruik naar boven komen. De structurele reactie was steeds hetzelfde: reproduceren, de kernoorzaak isoleren, een gerichte fix bouwen, en die fix zowel tegen het oorspronkelijke probleem áls tegen de eerder geteste scenario's (regressietest) bevestigen.</w:t>
      </w:r>
    </w:p>
    <w:p>
      <w:pPr>
        <w:pStyle w:val="Heading1"/>
        <w:spacing w:after="200" w:before="400"/>
      </w:pPr>
      <w:r>
        <w:rPr>
          <w:b/>
          <w:bCs/>
          <w:color w:val="0F6E5C"/>
        </w:rPr>
        <w:t xml:space="preserve">7. Licentiesysteem</w:t>
      </w:r>
    </w:p>
    <w:p>
      <w:pPr>
        <w:spacing w:after="160" w:line="300"/>
      </w:pPr>
      <w:r>
        <w:t xml:space="preserve">Om verspreiding van het installatiepakket te kunnen controleren, is een volledig offline licentiecode-systeem gebouwd — geen server nodig, verificatie gebeurt lokaal via een Ed25519-handtekening (dezelfde cryptografische aanpak als laag 5).</w:t>
      </w:r>
    </w:p>
    <w:p>
      <w:pPr>
        <w:pStyle w:val="ListParagraph"/>
        <w:numPr>
          <w:ilvl w:val="0"/>
          <w:numId w:val="2"/>
        </w:numPr>
        <w:spacing w:after="90"/>
      </w:pPr>
      <w:r>
        <w:rPr>
          <w:b/>
          <w:bCs/>
          <w:color w:val="0F6E5C"/>
        </w:rPr>
        <w:t xml:space="preserve">Uitgever (privé): </w:t>
      </w:r>
      <w:r>
        <w:t xml:space="preserve">genereert een sleutelpaar en kan daarmee tot 10.000 unieke, ondertekende codes aanmaken. De private key verlaat nooit de uitgever.</w:t>
      </w:r>
    </w:p>
    <w:p>
      <w:pPr>
        <w:pStyle w:val="ListParagraph"/>
        <w:numPr>
          <w:ilvl w:val="0"/>
          <w:numId w:val="2"/>
        </w:numPr>
        <w:spacing w:after="90"/>
      </w:pPr>
      <w:r>
        <w:rPr>
          <w:b/>
          <w:bCs/>
          <w:color w:val="0F6E5C"/>
        </w:rPr>
        <w:t xml:space="preserve">Installatiepakket (gedeeld): </w:t>
      </w:r>
      <w:r>
        <w:t xml:space="preserve">bevat alleen de publieke sleutel en een verificatiescript — kan controleren, nooit zelf codes genereren.</w:t>
      </w:r>
    </w:p>
    <w:p>
      <w:pPr>
        <w:pStyle w:val="ListParagraph"/>
        <w:numPr>
          <w:ilvl w:val="0"/>
          <w:numId w:val="2"/>
        </w:numPr>
        <w:spacing w:after="90"/>
      </w:pPr>
      <w:r>
        <w:rPr>
          <w:b/>
          <w:bCs/>
          <w:color w:val="0F6E5C"/>
        </w:rPr>
        <w:t xml:space="preserve">Installer: </w:t>
      </w:r>
      <w:r>
        <w:t xml:space="preserve">vraagt als eerste stap om een code en breekt de installatie direct af bij een ongeldige code, vóórdat er iets wordt geïnstalleerd.</w:t>
      </w:r>
    </w:p>
    <w:p>
      <w:pPr>
        <w:spacing w:after="160" w:line="300"/>
      </w:pPr>
      <w:r>
        <w:t xml:space="preserve">Tijdens het bouwen zijn twee praktijkbugs gevonden: coderingsformaat gaf onleesbaar lange codes (128+ tekens), gecorrigeerd naar een compacter formaat (96-107 tekens); en het gekozen leesbaarheids-scheidingsteken botste met het eigen alfabet van de coderingsmethode, wat ~1-2% van alle codes ten onrechte liet afwijzen. Na correctie zijn alle 10.000 gegenereerde testcodes stuk voor stuk geverifieerd: 10.000 van de 10.000 geldig.</w:t>
      </w:r>
    </w:p>
    <w:tbl>
      <w:tblPr>
        <w:tblW w:type="pct" w:w="100%"/>
        <w:tblBorders>
          <w:top w:val="single" w:color="C2740A" w:sz="4"/>
          <w:left w:val="single" w:color="C2740A" w:sz="24"/>
          <w:bottom w:val="single" w:color="C2740A" w:sz="4"/>
          <w:right w:val="single" w:color="C2740A" w:sz="4"/>
          <w:insideH w:val="single" w:color="auto" w:sz="4"/>
          <w:insideV w:val="single" w:color="auto" w:sz="4"/>
        </w:tblBorders>
      </w:tblPr>
      <w:tblGrid>
        <w:gridCol w:w="100"/>
      </w:tblGrid>
      <w:tr>
        <w:tc>
          <w:tcPr>
            <w:shd w:fill="F0F5F3" w:val="clear"/>
            <w:tcMar>
              <w:top w:type="dxa" w:w="160"/>
              <w:left w:type="dxa" w:w="220"/>
              <w:bottom w:type="dxa" w:w="160"/>
              <w:right w:type="dxa" w:w="220"/>
            </w:tcMar>
          </w:tcPr>
          <w:p>
            <w:pPr>
              <w:spacing w:after="60"/>
            </w:pPr>
            <w:r>
              <w:rPr>
                <w:b/>
                <w:bCs/>
                <w:color w:val="C2740A"/>
                <w:sz w:val="21"/>
                <w:szCs w:val="21"/>
              </w:rPr>
              <w:t xml:space="preserve">Eerlijke beperking</w:t>
            </w:r>
          </w:p>
          <w:p>
            <w:r>
              <w:rPr>
                <w:sz w:val="21"/>
                <w:szCs w:val="21"/>
              </w:rPr>
              <w:t xml:space="preserve">Dit is een offline systeem zonder centrale server. Er is geen manier om te detecteren of een code met meerdere mensen wordt gedeeld, of een code achteraf in te trekken. Wat wél gegarandeerd is: niemand kan zelf een geldige code verzinnen zonder de private key van de uitgever.</w:t>
            </w:r>
          </w:p>
        </w:tc>
      </w:tr>
    </w:tbl>
    <w:p>
      <w:pPr>
        <w:pStyle w:val="Heading1"/>
        <w:spacing w:after="200" w:before="400"/>
      </w:pPr>
      <w:r>
        <w:rPr>
          <w:b/>
          <w:bCs/>
          <w:color w:val="0F6E5C"/>
        </w:rPr>
        <w:t xml:space="preserve">8. Windows-uitbreiding</w:t>
      </w:r>
    </w:p>
    <w:p>
      <w:pPr>
        <w:spacing w:after="160" w:line="300"/>
      </w:pPr>
      <w:r>
        <w:t xml:space="preserve">Op verzoek is een eerste Windows-versie gebouwd, met een bewust beperkte scope: lagen 1, 3, 4 en 5 plus de GUI en correlatie-engine (laag 2 — netflow — is uitgesteld omdat de onderliggende Linux-tools daarvoor geen Windows-equivalent hebben), en zonder achtergrondautomatisering (handmatig starten via een bureaubladsnelkoppeling, geen Windows Services/Taakplanner).</w:t>
      </w:r>
    </w:p>
    <w:p>
      <w:pPr>
        <w:pStyle w:val="Heading2"/>
        <w:spacing w:after="140" w:before="280"/>
      </w:pPr>
      <w:r>
        <w:rPr>
          <w:b/>
          <w:bCs/>
          <w:color w:val="1A1F26"/>
        </w:rPr>
        <w:t xml:space="preserve">8.1 Aanpak</w:t>
      </w:r>
    </w:p>
    <w:p>
      <w:pPr>
        <w:spacing w:after="160" w:line="300"/>
      </w:pPr>
      <w:r>
        <w:t xml:space="preserve">Lagen 4 en 5 en de correlatie-engine bevatten geen Linux-specifieke code en zijn ongewijzigd overgenomen. Lagen 1 en 3 zijn herbouwd met psutil, een cross-platform library die op Windows en Linux dezelfde Python-API biedt maar onder de motorkap andere systeemaanroepen gebruikt. Dit maakte het mogelijk de detectielogica zelf grondig te testen — exact dezelfde scenario's als de Linux-versie (dynamic library-load, geheugengroei, procesafstamming, correlatie proces+netwerk).</w:t>
      </w:r>
    </w:p>
    <w:p>
      <w:pPr>
        <w:pStyle w:val="Heading2"/>
        <w:spacing w:after="140" w:before="280"/>
      </w:pPr>
      <w:r>
        <w:rPr>
          <w:b/>
          <w:bCs/>
          <w:color w:val="1A1F26"/>
        </w:rPr>
        <w:t xml:space="preserve">8.2 Cross-platform GUI</w:t>
      </w:r>
    </w:p>
    <w:p>
      <w:pPr>
        <w:spacing w:after="160" w:line="300"/>
      </w:pPr>
      <w:r>
        <w:t xml:space="preserve">In plaats van een aparte Windows-GUI te bouwen, is de bestaande GUI cross-platform-bewust gemaakt: bij het opstarten detecteert het script het besturingssysteem en kiest automatisch de juiste onderliggende scripts en Python-commando. De Linux-productieversie is na deze wijziging volledig geregressietest en bevestigd ongewijzigd te functioneren.</w:t>
      </w:r>
    </w:p>
    <w:p>
      <w:pPr>
        <w:pStyle w:val="Heading2"/>
        <w:spacing w:after="140" w:before="280"/>
      </w:pPr>
      <w:r>
        <w:rPr>
          <w:b/>
          <w:bCs/>
          <w:color w:val="1A1F26"/>
        </w:rPr>
        <w:t xml:space="preserve">8.3 Validatie op echte hardware — bevindingen uit een echte testinstallatie</w:t>
      </w:r>
    </w:p>
    <w:p>
      <w:pPr>
        <w:spacing w:after="160" w:line="300"/>
      </w:pPr>
      <w:r>
        <w:t xml:space="preserve">Een eerste, daadwerkelijke installatie op een Windows-machine (niet gesimuleerd) bracht vier praktijkbugs aan het licht die bij het schrijven van de code, zonder toegang tot een Windows-testomgeving, niet voorzien waren:</w:t>
      </w:r>
    </w:p>
    <w:p>
      <w:pPr>
        <w:pStyle w:val="ListParagraph"/>
        <w:numPr>
          <w:ilvl w:val="0"/>
          <w:numId w:val="2"/>
        </w:numPr>
        <w:spacing w:after="90"/>
      </w:pPr>
      <w:r>
        <w:rPr>
          <w:b/>
          <w:bCs/>
          <w:color w:val="0F6E5C"/>
        </w:rPr>
        <w:t xml:space="preserve">Tekstcodering (Mark of the Web + cp1252): </w:t>
      </w:r>
      <w:r>
        <w:t xml:space="preserve">een gedownload PowerShell-script krijgt van Windows een onzichtbaar 'kwam van het internet'-vlaggetje, waardoor het weigerde te draaien ondanks een correct ingestelde execution-policy — opgelost met Unblock-File. Daarnaast crashten meerdere Python-scripts bij het printen van statustekens (✅/⚠️/❌) omdat Windows' console standaard het cp1252-codepage gebruikt in plaats van UTF-8 — opgelost door PYTHONUTF8 centraal in de GUI in te stellen, wat automatisch naar alle onderliggende laag-processen overerft.</w:t>
      </w:r>
    </w:p>
    <w:p>
      <w:pPr>
        <w:pStyle w:val="ListParagraph"/>
        <w:numPr>
          <w:ilvl w:val="0"/>
          <w:numId w:val="2"/>
        </w:numPr>
        <w:spacing w:after="90"/>
      </w:pPr>
      <w:r>
        <w:rPr>
          <w:b/>
          <w:bCs/>
          <w:color w:val="0F6E5C"/>
        </w:rPr>
        <w:t xml:space="preserve">Installatievolgorde: </w:t>
      </w:r>
      <w:r>
        <w:t xml:space="preserve">de licentiecontrole draaide oorspronkelijk vóór de installatie van de cryptography-afhankelijkheid die de licentiecontrole zelf nodig heeft — dit bleef onopgemerkt op Linux (waar die afhankelijkheid toevallig al aanwezig was) maar liet de installatie op een volledig verse Windows-Python-installatie direct crashen. Opgelost door de installatiestappen te herordenen, in beide platformversies.</w:t>
      </w:r>
    </w:p>
    <w:p>
      <w:pPr>
        <w:pStyle w:val="ListParagraph"/>
        <w:numPr>
          <w:ilvl w:val="0"/>
          <w:numId w:val="2"/>
        </w:numPr>
        <w:spacing w:after="90"/>
      </w:pPr>
      <w:r>
        <w:rPr>
          <w:b/>
          <w:bCs/>
          <w:color w:val="0F6E5C"/>
        </w:rPr>
        <w:t xml:space="preserve">Platform-inconsistentie: </w:t>
      </w:r>
      <w:r>
        <w:t xml:space="preserve">één subprocess-aanroep in de GUI had het Linux-specifieke commando 'python3' hardcoded staan in plaats van de cross-platform-variabele, wat op Windows leidde tot een misleidende Microsoft-Store-verwijzing in plaats van de daadwerkelijke tool.</w:t>
      </w:r>
    </w:p>
    <w:p>
      <w:pPr>
        <w:pStyle w:val="ListParagraph"/>
        <w:numPr>
          <w:ilvl w:val="0"/>
          <w:numId w:val="2"/>
        </w:numPr>
        <w:spacing w:after="90"/>
      </w:pPr>
      <w:r>
        <w:rPr>
          <w:b/>
          <w:bCs/>
          <w:color w:val="0F6E5C"/>
        </w:rPr>
        <w:t xml:space="preserve">Ontbrekende scope-afscherming: </w:t>
      </w:r>
      <w:r>
        <w:t xml:space="preserve">de GUI liet een gebruiker Laag 2 (netflow) aanklikken op Windows, wat crashte met een cryptische foutmelding in plaats van een duidelijke uitleg dat deze laag hier bewust niet beschikbaar is.</w:t>
      </w:r>
    </w:p>
    <w:p>
      <w:pPr>
        <w:spacing w:after="160" w:line="300"/>
      </w:pPr>
      <w:r>
        <w:t xml:space="preserve">Alle vier zijn gereproduceerd in een geïsoleerde testomgeving, opgelost, en met een expliciete vóór/na-vergelijking bevestigd — dezelfde discipline als bij elke eerdere hardware-integratie in dit project. Na deze fixes is een volledige installatie-tot-en-met-draaiende-GUI bevestigd geslaagd op echte Windows-hardware.</w:t>
      </w:r>
    </w:p>
    <w:tbl>
      <w:tblPr>
        <w:tblW w:type="pct" w:w="100%"/>
        <w:tblBorders>
          <w:top w:val="single" w:color="0F6E5C" w:sz="4"/>
          <w:left w:val="single" w:color="0F6E5C" w:sz="24"/>
          <w:bottom w:val="single" w:color="0F6E5C" w:sz="4"/>
          <w:right w:val="single" w:color="0F6E5C" w:sz="4"/>
          <w:insideH w:val="single" w:color="auto" w:sz="4"/>
          <w:insideV w:val="single" w:color="auto" w:sz="4"/>
        </w:tblBorders>
      </w:tblPr>
      <w:tblGrid>
        <w:gridCol w:w="100"/>
      </w:tblGrid>
      <w:tr>
        <w:tc>
          <w:tcPr>
            <w:shd w:fill="F0F5F3" w:val="clear"/>
            <w:tcMar>
              <w:top w:type="dxa" w:w="160"/>
              <w:left w:type="dxa" w:w="220"/>
              <w:bottom w:type="dxa" w:w="160"/>
              <w:right w:type="dxa" w:w="220"/>
            </w:tcMar>
          </w:tcPr>
          <w:p>
            <w:pPr>
              <w:spacing w:after="60"/>
            </w:pPr>
            <w:r>
              <w:rPr>
                <w:b/>
                <w:bCs/>
                <w:color w:val="0F6E5C"/>
                <w:sz w:val="21"/>
                <w:szCs w:val="21"/>
              </w:rPr>
              <w:t xml:space="preserve">Wat dit betekent voor het vertrouwen in de Windows-versie</w:t>
            </w:r>
          </w:p>
          <w:p>
            <w:r>
              <w:rPr>
                <w:sz w:val="21"/>
                <w:szCs w:val="21"/>
              </w:rPr>
              <w:t xml:space="preserve">Waar eerdere versies van dit document meldden dat de Windows-systeemkoppeling 'niet op echte hardware bevestigd' kon worden, is dat inmiddels wél gebeurd — inclusief het soort onvoorziene problemen die alleen een echte testinstallatie blootlegt. Dat is een sterker signaal dan theoretische correctheid: het systeem heeft nu een track record van gevonden-en-opgeloste praktijkbugs op het platform zelf, niet alleen op de onderliggende library.</w:t>
            </w:r>
          </w:p>
        </w:tc>
      </w:tr>
    </w:tbl>
    <w:p>
      <w:pPr>
        <w:pStyle w:val="Heading1"/>
        <w:spacing w:after="200" w:before="400"/>
      </w:pPr>
      <w:r>
        <w:rPr>
          <w:b/>
          <w:bCs/>
          <w:color w:val="0F6E5C"/>
        </w:rPr>
        <w:t xml:space="preserve">9. Projectstatistieken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F6E5C" w:val="clear"/>
            <w:tcMar>
              <w:top w:type="dxa" w:w="100"/>
              <w:left w:type="dxa" w:w="120"/>
              <w:bottom w:type="dxa" w:w="100"/>
              <w:right w:type="dxa" w:w="120"/>
            </w:tcMar>
          </w:tcPr>
          <w:p>
            <w:r>
              <w:rPr>
                <w:b/>
                <w:bCs/>
                <w:color w:val="FFFFFF"/>
                <w:sz w:val="19"/>
                <w:szCs w:val="19"/>
              </w:rPr>
              <w:t xml:space="preserve">Metriek</w:t>
            </w:r>
          </w:p>
        </w:tc>
        <w:tc>
          <w:tcPr>
            <w:tcW w:type="dxa" w:w="4675"/>
            <w:shd w:fill="0F6E5C" w:val="clear"/>
            <w:tcMar>
              <w:top w:type="dxa" w:w="100"/>
              <w:left w:type="dxa" w:w="120"/>
              <w:bottom w:type="dxa" w:w="100"/>
              <w:right w:type="dxa" w:w="120"/>
            </w:tcMar>
          </w:tcPr>
          <w:p>
            <w:r>
              <w:rPr>
                <w:b/>
                <w:bCs/>
                <w:color w:val="FFFFFF"/>
                <w:sz w:val="19"/>
                <w:szCs w:val="19"/>
              </w:rPr>
              <w:t xml:space="preserve">Waarde</w:t>
            </w:r>
          </w:p>
        </w:tc>
      </w:tr>
      <w:tr>
        <w:tc>
          <w:tcPr>
            <w:tcW w:type="dxa" w:w="4675"/>
            <w:shd w:fill="FFFFFF" w:val="clear"/>
            <w:tcMar>
              <w:top w:type="dxa" w:w="90"/>
              <w:left w:type="dxa" w:w="120"/>
              <w:bottom w:type="dxa" w:w="90"/>
              <w:right w:type="dxa" w:w="120"/>
            </w:tcMar>
          </w:tcPr>
          <w:p>
            <w:r>
              <w:rPr>
                <w:sz w:val="19"/>
                <w:szCs w:val="19"/>
              </w:rPr>
              <w:t xml:space="preserve">Detectielagen</w:t>
            </w:r>
          </w:p>
        </w:tc>
        <w:tc>
          <w:tcPr>
            <w:tcW w:type="dxa" w:w="4675"/>
            <w:shd w:fill="FFFFFF" w:val="clear"/>
            <w:tcMar>
              <w:top w:type="dxa" w:w="90"/>
              <w:left w:type="dxa" w:w="120"/>
              <w:bottom w:type="dxa" w:w="90"/>
              <w:right w:type="dxa" w:w="120"/>
            </w:tcMar>
          </w:tcPr>
          <w:p>
            <w:r>
              <w:rPr>
                <w:sz w:val="19"/>
                <w:szCs w:val="19"/>
              </w:rPr>
              <w:t xml:space="preserve">5 + correlatie-engine + GUI/dashboard</w:t>
            </w:r>
          </w:p>
        </w:tc>
      </w:tr>
      <w:tr>
        <w:tc>
          <w:tcPr>
            <w:tcW w:type="dxa" w:w="4675"/>
            <w:shd w:fill="FAFBFB" w:val="clear"/>
            <w:tcMar>
              <w:top w:type="dxa" w:w="90"/>
              <w:left w:type="dxa" w:w="120"/>
              <w:bottom w:type="dxa" w:w="90"/>
              <w:right w:type="dxa" w:w="120"/>
            </w:tcMar>
          </w:tcPr>
          <w:p>
            <w:r>
              <w:rPr>
                <w:sz w:val="19"/>
                <w:szCs w:val="19"/>
              </w:rPr>
              <w:t xml:space="preserve">Platforms</w:t>
            </w:r>
          </w:p>
        </w:tc>
        <w:tc>
          <w:tcPr>
            <w:tcW w:type="dxa" w:w="4675"/>
            <w:shd w:fill="FAFBFB" w:val="clear"/>
            <w:tcMar>
              <w:top w:type="dxa" w:w="90"/>
              <w:left w:type="dxa" w:w="120"/>
              <w:bottom w:type="dxa" w:w="90"/>
              <w:right w:type="dxa" w:w="120"/>
            </w:tcMar>
          </w:tcPr>
          <w:p>
            <w:r>
              <w:rPr>
                <w:sz w:val="19"/>
                <w:szCs w:val="19"/>
              </w:rPr>
              <w:t xml:space="preserve">Linux (productie) + Windows (gevalideerd op echte hardware)</w:t>
            </w:r>
          </w:p>
        </w:tc>
      </w:tr>
      <w:tr>
        <w:tc>
          <w:tcPr>
            <w:tcW w:type="dxa" w:w="4675"/>
            <w:shd w:fill="FFFFFF" w:val="clear"/>
            <w:tcMar>
              <w:top w:type="dxa" w:w="90"/>
              <w:left w:type="dxa" w:w="120"/>
              <w:bottom w:type="dxa" w:w="90"/>
              <w:right w:type="dxa" w:w="120"/>
            </w:tcMar>
          </w:tcPr>
          <w:p>
            <w:r>
              <w:rPr>
                <w:sz w:val="19"/>
                <w:szCs w:val="19"/>
              </w:rPr>
              <w:t xml:space="preserve">Losse Python-bestanden</w:t>
            </w:r>
          </w:p>
        </w:tc>
        <w:tc>
          <w:tcPr>
            <w:tcW w:type="dxa" w:w="4675"/>
            <w:shd w:fill="FFFFFF" w:val="clear"/>
            <w:tcMar>
              <w:top w:type="dxa" w:w="90"/>
              <w:left w:type="dxa" w:w="120"/>
              <w:bottom w:type="dxa" w:w="90"/>
              <w:right w:type="dxa" w:w="120"/>
            </w:tcMar>
          </w:tcPr>
          <w:p>
            <w:r>
              <w:rPr>
                <w:sz w:val="19"/>
                <w:szCs w:val="19"/>
              </w:rPr>
              <w:t xml:space="preserve">18+</w:t>
            </w:r>
          </w:p>
        </w:tc>
      </w:tr>
      <w:tr>
        <w:tc>
          <w:tcPr>
            <w:tcW w:type="dxa" w:w="4675"/>
            <w:shd w:fill="FAFBFB" w:val="clear"/>
            <w:tcMar>
              <w:top w:type="dxa" w:w="90"/>
              <w:left w:type="dxa" w:w="120"/>
              <w:bottom w:type="dxa" w:w="90"/>
              <w:right w:type="dxa" w:w="120"/>
            </w:tcMar>
          </w:tcPr>
          <w:p>
            <w:r>
              <w:rPr>
                <w:sz w:val="19"/>
                <w:szCs w:val="19"/>
              </w:rPr>
              <w:t xml:space="preserve">Praktijkbugs gevonden en gefixt</w:t>
            </w:r>
          </w:p>
        </w:tc>
        <w:tc>
          <w:tcPr>
            <w:tcW w:type="dxa" w:w="4675"/>
            <w:shd w:fill="FAFBFB" w:val="clear"/>
            <w:tcMar>
              <w:top w:type="dxa" w:w="90"/>
              <w:left w:type="dxa" w:w="120"/>
              <w:bottom w:type="dxa" w:w="90"/>
              <w:right w:type="dxa" w:w="120"/>
            </w:tcMar>
          </w:tcPr>
          <w:p>
            <w:r>
              <w:rPr>
                <w:sz w:val="19"/>
                <w:szCs w:val="19"/>
              </w:rPr>
              <w:t xml:space="preserve">16+ (incl. 4 uit de Windows-testinstallatie)</w:t>
            </w:r>
          </w:p>
        </w:tc>
      </w:tr>
      <w:tr>
        <w:tc>
          <w:tcPr>
            <w:tcW w:type="dxa" w:w="4675"/>
            <w:shd w:fill="FFFFFF" w:val="clear"/>
            <w:tcMar>
              <w:top w:type="dxa" w:w="90"/>
              <w:left w:type="dxa" w:w="120"/>
              <w:bottom w:type="dxa" w:w="90"/>
              <w:right w:type="dxa" w:w="120"/>
            </w:tcMar>
          </w:tcPr>
          <w:p>
            <w:r>
              <w:rPr>
                <w:sz w:val="19"/>
                <w:szCs w:val="19"/>
              </w:rPr>
              <w:t xml:space="preserve">Getest aanvalsscenario's (Laag 5, TPM)</w:t>
            </w:r>
          </w:p>
        </w:tc>
        <w:tc>
          <w:tcPr>
            <w:tcW w:type="dxa" w:w="4675"/>
            <w:shd w:fill="FFFFFF" w:val="clear"/>
            <w:tcMar>
              <w:top w:type="dxa" w:w="90"/>
              <w:left w:type="dxa" w:w="120"/>
              <w:bottom w:type="dxa" w:w="90"/>
              <w:right w:type="dxa" w:w="120"/>
            </w:tcMar>
          </w:tcPr>
          <w:p>
            <w:r>
              <w:rPr>
                <w:sz w:val="19"/>
                <w:szCs w:val="19"/>
              </w:rPr>
              <w:t xml:space="preserve">6</w:t>
            </w:r>
          </w:p>
        </w:tc>
      </w:tr>
      <w:tr>
        <w:tc>
          <w:tcPr>
            <w:tcW w:type="dxa" w:w="4675"/>
            <w:shd w:fill="FAFBFB" w:val="clear"/>
            <w:tcMar>
              <w:top w:type="dxa" w:w="90"/>
              <w:left w:type="dxa" w:w="120"/>
              <w:bottom w:type="dxa" w:w="90"/>
              <w:right w:type="dxa" w:w="120"/>
            </w:tcMar>
          </w:tcPr>
          <w:p>
            <w:r>
              <w:rPr>
                <w:sz w:val="19"/>
                <w:szCs w:val="19"/>
              </w:rPr>
              <w:t xml:space="preserve">Gegenereerde en geverifieerde licentiecodes</w:t>
            </w:r>
          </w:p>
        </w:tc>
        <w:tc>
          <w:tcPr>
            <w:tcW w:type="dxa" w:w="4675"/>
            <w:shd w:fill="FAFBFB" w:val="clear"/>
            <w:tcMar>
              <w:top w:type="dxa" w:w="90"/>
              <w:left w:type="dxa" w:w="120"/>
              <w:bottom w:type="dxa" w:w="90"/>
              <w:right w:type="dxa" w:w="120"/>
            </w:tcMar>
          </w:tcPr>
          <w:p>
            <w:r>
              <w:rPr>
                <w:sz w:val="19"/>
                <w:szCs w:val="19"/>
              </w:rPr>
              <w:t xml:space="preserve">10.000 / 10.000 geldig</w:t>
            </w:r>
          </w:p>
        </w:tc>
      </w:tr>
      <w:tr>
        <w:tc>
          <w:tcPr>
            <w:tcW w:type="dxa" w:w="4675"/>
            <w:shd w:fill="FFFFFF" w:val="clear"/>
            <w:tcMar>
              <w:top w:type="dxa" w:w="90"/>
              <w:left w:type="dxa" w:w="120"/>
              <w:bottom w:type="dxa" w:w="90"/>
              <w:right w:type="dxa" w:w="120"/>
            </w:tcMar>
          </w:tcPr>
          <w:p>
            <w:r>
              <w:rPr>
                <w:sz w:val="19"/>
                <w:szCs w:val="19"/>
              </w:rPr>
              <w:t xml:space="preserve">Documentatie</w:t>
            </w:r>
          </w:p>
        </w:tc>
        <w:tc>
          <w:tcPr>
            <w:tcW w:type="dxa" w:w="4675"/>
            <w:shd w:fill="FFFFFF" w:val="clear"/>
            <w:tcMar>
              <w:top w:type="dxa" w:w="90"/>
              <w:left w:type="dxa" w:w="120"/>
              <w:bottom w:type="dxa" w:w="90"/>
              <w:right w:type="dxa" w:w="120"/>
            </w:tcMar>
          </w:tcPr>
          <w:p>
            <w:r>
              <w:rPr>
                <w:sz w:val="19"/>
                <w:szCs w:val="19"/>
              </w:rPr>
              <w:t xml:space="preserve">Whitepaper, 4 installatiegidsen (NL/EN × Linux/Windows), functioneel-beheerhandleiding, gebruikershandleiding, projectwebsite</w:t>
            </w:r>
          </w:p>
        </w:tc>
      </w:tr>
    </w:tbl>
    <w:p>
      <w:pPr>
        <w:pStyle w:val="Heading1"/>
        <w:spacing w:after="200" w:before="400"/>
      </w:pPr>
      <w:r>
        <w:rPr>
          <w:b/>
          <w:bCs/>
          <w:color w:val="0F6E5C"/>
        </w:rPr>
        <w:t xml:space="preserve">10. Beperkingen</w:t>
      </w:r>
    </w:p>
    <w:p>
      <w:pPr>
        <w:pStyle w:val="ListParagraph"/>
        <w:numPr>
          <w:ilvl w:val="0"/>
          <w:numId w:val="2"/>
        </w:numPr>
        <w:spacing w:after="90"/>
      </w:pPr>
      <w:r>
        <w:rPr>
          <w:b/>
          <w:bCs/>
          <w:color w:val="0F6E5C"/>
        </w:rPr>
        <w:t xml:space="preserve">Laag 2 op Windows: </w:t>
      </w:r>
      <w:r>
        <w:t xml:space="preserve">nog niet gebouwd; vraagt een fundamenteel andere aanpak dan de Linux-tools.</w:t>
      </w:r>
    </w:p>
    <w:p>
      <w:pPr>
        <w:pStyle w:val="ListParagraph"/>
        <w:numPr>
          <w:ilvl w:val="0"/>
          <w:numId w:val="2"/>
        </w:numPr>
        <w:spacing w:after="90"/>
      </w:pPr>
      <w:r>
        <w:rPr>
          <w:b/>
          <w:bCs/>
          <w:color w:val="0F6E5C"/>
        </w:rPr>
        <w:t xml:space="preserve">Licentiesysteem: </w:t>
      </w:r>
      <w:r>
        <w:t xml:space="preserve">geen centrale server, dus geen misbruikdetectie of intrekking na uitgifte.</w:t>
      </w:r>
    </w:p>
    <w:p>
      <w:pPr>
        <w:pStyle w:val="ListParagraph"/>
        <w:numPr>
          <w:ilvl w:val="0"/>
          <w:numId w:val="2"/>
        </w:numPr>
        <w:spacing w:after="90"/>
      </w:pPr>
      <w:r>
        <w:rPr>
          <w:b/>
          <w:bCs/>
          <w:color w:val="0F6E5C"/>
        </w:rPr>
        <w:t xml:space="preserve">Kalibratie: </w:t>
      </w:r>
      <w:r>
        <w:t xml:space="preserve">drempelwaarden zijn gebaseerd op één productiemachine en synthetische data; grootschaliger productiegebruik kan verdere kalibratie vragen.</w:t>
      </w:r>
    </w:p>
    <w:p>
      <w:pPr>
        <w:pStyle w:val="Heading1"/>
        <w:spacing w:after="200" w:before="400"/>
      </w:pPr>
      <w:r>
        <w:rPr>
          <w:b/>
          <w:bCs/>
          <w:color w:val="0F6E5C"/>
        </w:rPr>
        <w:t xml:space="preserve">11. Aanbevelingen en vervolgstappen</w:t>
      </w:r>
    </w:p>
    <w:p>
      <w:pPr>
        <w:pStyle w:val="ListParagraph"/>
        <w:numPr>
          <w:ilvl w:val="0"/>
          <w:numId w:val="2"/>
        </w:numPr>
        <w:spacing w:after="90"/>
      </w:pPr>
      <w:r>
        <w:rPr>
          <w:b/>
          <w:bCs/>
          <w:color w:val="0F6E5C"/>
        </w:rPr>
        <w:t xml:space="preserve">Bredere Windows-validatie: </w:t>
      </w:r>
      <w:r>
        <w:t xml:space="preserve">de eerste echte testinstallatie is geslaagd; meer diverse testmachines (andere Windows-versies, andere Python-versies) vergroten het vertrouwen verder.</w:t>
      </w:r>
    </w:p>
    <w:p>
      <w:pPr>
        <w:pStyle w:val="ListParagraph"/>
        <w:numPr>
          <w:ilvl w:val="0"/>
          <w:numId w:val="2"/>
        </w:numPr>
        <w:spacing w:after="90"/>
      </w:pPr>
      <w:r>
        <w:rPr>
          <w:b/>
          <w:bCs/>
          <w:color w:val="0F6E5C"/>
        </w:rPr>
        <w:t xml:space="preserve">Laag 2 voor Windows: </w:t>
      </w:r>
      <w:r>
        <w:t xml:space="preserve">onderzoek een Npcap-gebaseerde capture-aanpak als vervolgstap.</w:t>
      </w:r>
    </w:p>
    <w:p>
      <w:pPr>
        <w:pStyle w:val="ListParagraph"/>
        <w:numPr>
          <w:ilvl w:val="0"/>
          <w:numId w:val="2"/>
        </w:numPr>
        <w:spacing w:after="90"/>
      </w:pPr>
      <w:r>
        <w:rPr>
          <w:b/>
          <w:bCs/>
          <w:color w:val="0F6E5C"/>
        </w:rPr>
        <w:t xml:space="preserve">Kalibratieperiode aanhouden: </w:t>
      </w:r>
      <w:r>
        <w:t xml:space="preserve">2-4 weken observeer-modus per nieuwe installatie, vóór automatische respons wordt geactiveerd.</w:t>
      </w:r>
    </w:p>
    <w:p>
      <w:pPr>
        <w:pStyle w:val="ListParagraph"/>
        <w:numPr>
          <w:ilvl w:val="0"/>
          <w:numId w:val="2"/>
        </w:numPr>
        <w:spacing w:after="90"/>
      </w:pPr>
      <w:r>
        <w:rPr>
          <w:b/>
          <w:bCs/>
          <w:color w:val="0F6E5C"/>
        </w:rPr>
        <w:t xml:space="preserve">Sleutelbeheer formaliseren: </w:t>
      </w:r>
      <w:r>
        <w:t xml:space="preserve">zowel voor TPM-model-signing als het licentiesysteem — private keys zijn de kern van beide vertrouwensmodellen.</w:t>
      </w:r>
    </w:p>
    <w:p>
      <w:pPr>
        <w:pStyle w:val="Heading1"/>
        <w:spacing w:after="200" w:before="400"/>
      </w:pPr>
      <w:r>
        <w:rPr>
          <w:b/>
          <w:bCs/>
          <w:color w:val="0F6E5C"/>
        </w:rPr>
        <w:t xml:space="preserve">12. Conclusie</w:t>
      </w:r>
    </w:p>
    <w:p>
      <w:pPr>
        <w:spacing w:after="160" w:line="300"/>
      </w:pPr>
      <w:r>
        <w:t xml:space="preserve">Dit project toont dat een dreiging die per ontwerp buiten het bereik van klassieke beveiliging valt — een gedistribueerd, C2-loos LLM-botnet — met een gerichte, meerlaagse correlatie-aanpak wél detecteerbaar is, en dat die aanpak niet alleen op papier maar ook op een echte productiemachine standhoudt. De weg van eerste dreigingsanalyse naar een geïnstalleerd, doorontwikkeld, gelicentieerd en cross-platform systeem is precies gelopen zoals goede engineering dat vraagt: bouwen, testen tegen de werkelijkheid, en corrigeren op basis van wat die werkelijkheid laat zien.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80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Whitepaper 2.0 — Detectie van een C2-loos LLM-botnet</dc:title>
  <dc:creator>Projectteam LLM-botnetdetectie</dc:creator>
  <cp:lastModifiedBy>Un-named</cp:lastModifiedBy>
  <cp:revision>1</cp:revision>
  <dcterms:created xsi:type="dcterms:W3CDTF">2026-08-15T06:55:10.603Z</dcterms:created>
  <dcterms:modified xsi:type="dcterms:W3CDTF">2026-08-15T06:55:10.603Z</dcterms:modified>
</cp:coreProperties>
</file>

<file path=docProps/custom.xml><?xml version="1.0" encoding="utf-8"?>
<Properties xmlns="http://schemas.openxmlformats.org/officeDocument/2006/custom-properties" xmlns:vt="http://schemas.openxmlformats.org/officeDocument/2006/docPropsVTypes"/>
</file>