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rPr/>
      </w:pPr>
      <w:r>
        <w:rPr>
          <w:b/>
          <w:color w:val="1F355E"/>
          <w:sz w:val="24"/>
        </w:rPr>
        <w:t>MERIDIAN COMMERCE BANK, N.A.</w:t>
      </w:r>
    </w:p>
    <w:p>
      <w:pPr>
        <w:pStyle w:val="Normal"/>
        <w:spacing w:before="0" w:after="20"/>
        <w:rPr/>
      </w:pPr>
      <w:r>
        <w:rPr>
          <w:color w:val="555B66"/>
          <w:sz w:val="15"/>
        </w:rPr>
        <w:t>Commercial Banking Division  |  Credit Administration</w:t>
      </w:r>
    </w:p>
    <w:p>
      <w:pPr>
        <w:pStyle w:val="Normal"/>
        <w:pBdr>
          <w:bottom w:val="single" w:sz="12" w:space="2" w:color="1F355E"/>
        </w:pBdr>
        <w:spacing w:before="0" w:after="80"/>
        <w:rPr/>
      </w:pPr>
      <w:r>
        <w:rPr>
          <w:b/>
          <w:sz w:val="20"/>
        </w:rPr>
        <w:t>COMMERCIAL LOAN APPLICATION — BORROWER NARRATIVE</w:t>
      </w:r>
    </w:p>
    <w:p>
      <w:pPr>
        <w:pStyle w:val="Normal"/>
        <w:pBdr>
          <w:bottom w:val="single" w:sz="8" w:space="2" w:color="1F355E"/>
        </w:pBdr>
        <w:spacing w:before="140" w:after="40"/>
        <w:rPr/>
      </w:pPr>
      <w:r>
        <w:rPr>
          <w:b/>
          <w:color w:val="1F355E"/>
          <w:sz w:val="16"/>
        </w:rPr>
        <w:t>APPLICANT AND FACILITY REQUESTED</w:t>
      </w:r>
    </w:p>
    <w:tbl>
      <w:tblPr>
        <w:tblW w:w="10656"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2664"/>
        <w:gridCol w:w="2664"/>
        <w:gridCol w:w="2664"/>
        <w:gridCol w:w="2664"/>
      </w:tblGrid>
      <w:tr>
        <w:trPr/>
        <w:tc>
          <w:tcPr>
            <w:tcW w:w="2664" w:type="dxa"/>
            <w:tcBorders/>
          </w:tcPr>
          <w:p>
            <w:pPr>
              <w:pStyle w:val="Normal"/>
              <w:spacing w:before="0" w:after="10"/>
              <w:rPr/>
            </w:pPr>
            <w:r>
              <w:rPr>
                <w:b/>
                <w:color w:val="555B66"/>
                <w:sz w:val="17"/>
              </w:rPr>
              <w:t>Borrower</w:t>
            </w:r>
          </w:p>
        </w:tc>
        <w:tc>
          <w:tcPr>
            <w:tcW w:w="2664" w:type="dxa"/>
            <w:tcBorders/>
          </w:tcPr>
          <w:p>
            <w:pPr>
              <w:pStyle w:val="Normal"/>
              <w:spacing w:before="0" w:after="10"/>
              <w:rPr/>
            </w:pPr>
            <w:r>
              <w:rPr>
                <w:sz w:val="17"/>
              </w:rPr>
              <w:t>Harbor Point Fabrication, LLC</w:t>
            </w:r>
          </w:p>
        </w:tc>
        <w:tc>
          <w:tcPr>
            <w:tcW w:w="2664" w:type="dxa"/>
            <w:tcBorders/>
          </w:tcPr>
          <w:p>
            <w:pPr>
              <w:pStyle w:val="Normal"/>
              <w:spacing w:before="0" w:after="10"/>
              <w:rPr/>
            </w:pPr>
            <w:r>
              <w:rPr>
                <w:b/>
                <w:color w:val="555B66"/>
                <w:sz w:val="17"/>
              </w:rPr>
              <w:t>Amount Requested</w:t>
            </w:r>
          </w:p>
        </w:tc>
        <w:tc>
          <w:tcPr>
            <w:tcW w:w="2664" w:type="dxa"/>
            <w:tcBorders/>
          </w:tcPr>
          <w:p>
            <w:pPr>
              <w:pStyle w:val="Normal"/>
              <w:spacing w:before="0" w:after="10"/>
              <w:rPr/>
            </w:pPr>
            <w:r>
              <w:rPr>
                <w:sz w:val="17"/>
              </w:rPr>
              <w:t>$1,800,000</w:t>
            </w:r>
          </w:p>
        </w:tc>
      </w:tr>
      <w:tr>
        <w:trPr/>
        <w:tc>
          <w:tcPr>
            <w:tcW w:w="2664" w:type="dxa"/>
            <w:tcBorders/>
          </w:tcPr>
          <w:p>
            <w:pPr>
              <w:pStyle w:val="Normal"/>
              <w:spacing w:before="0" w:after="10"/>
              <w:rPr/>
            </w:pPr>
            <w:r>
              <w:rPr>
                <w:b/>
                <w:color w:val="555B66"/>
                <w:sz w:val="17"/>
              </w:rPr>
              <w:t>Entity / State</w:t>
            </w:r>
          </w:p>
        </w:tc>
        <w:tc>
          <w:tcPr>
            <w:tcW w:w="2664" w:type="dxa"/>
            <w:tcBorders/>
          </w:tcPr>
          <w:p>
            <w:pPr>
              <w:pStyle w:val="Normal"/>
              <w:spacing w:before="0" w:after="10"/>
              <w:rPr/>
            </w:pPr>
            <w:r>
              <w:rPr>
                <w:sz w:val="17"/>
              </w:rPr>
              <w:t>Ohio LLC, organized March 2013</w:t>
            </w:r>
          </w:p>
        </w:tc>
        <w:tc>
          <w:tcPr>
            <w:tcW w:w="2664" w:type="dxa"/>
            <w:tcBorders/>
          </w:tcPr>
          <w:p>
            <w:pPr>
              <w:pStyle w:val="Normal"/>
              <w:spacing w:before="0" w:after="10"/>
              <w:rPr/>
            </w:pPr>
            <w:r>
              <w:rPr>
                <w:b/>
                <w:color w:val="555B66"/>
                <w:sz w:val="17"/>
              </w:rPr>
              <w:t>Facility Type</w:t>
            </w:r>
          </w:p>
        </w:tc>
        <w:tc>
          <w:tcPr>
            <w:tcW w:w="2664" w:type="dxa"/>
            <w:tcBorders/>
          </w:tcPr>
          <w:p>
            <w:pPr>
              <w:pStyle w:val="Normal"/>
              <w:spacing w:before="0" w:after="10"/>
              <w:rPr/>
            </w:pPr>
            <w:r>
              <w:rPr>
                <w:sz w:val="17"/>
              </w:rPr>
              <w:t>Owner-occupied CRE term loan</w:t>
            </w:r>
          </w:p>
        </w:tc>
      </w:tr>
      <w:tr>
        <w:trPr/>
        <w:tc>
          <w:tcPr>
            <w:tcW w:w="2664" w:type="dxa"/>
            <w:tcBorders/>
          </w:tcPr>
          <w:p>
            <w:pPr>
              <w:pStyle w:val="Normal"/>
              <w:spacing w:before="0" w:after="10"/>
              <w:rPr/>
            </w:pPr>
            <w:r>
              <w:rPr>
                <w:b/>
                <w:color w:val="555B66"/>
                <w:sz w:val="17"/>
              </w:rPr>
              <w:t>Address</w:t>
            </w:r>
          </w:p>
        </w:tc>
        <w:tc>
          <w:tcPr>
            <w:tcW w:w="2664" w:type="dxa"/>
            <w:tcBorders/>
          </w:tcPr>
          <w:p>
            <w:pPr>
              <w:pStyle w:val="Normal"/>
              <w:spacing w:before="0" w:after="10"/>
              <w:rPr/>
            </w:pPr>
            <w:r>
              <w:rPr>
                <w:sz w:val="17"/>
              </w:rPr>
              <w:t>4200 Kestrel Road, Maumee, OH 43537</w:t>
            </w:r>
          </w:p>
        </w:tc>
        <w:tc>
          <w:tcPr>
            <w:tcW w:w="2664" w:type="dxa"/>
            <w:tcBorders/>
          </w:tcPr>
          <w:p>
            <w:pPr>
              <w:pStyle w:val="Normal"/>
              <w:spacing w:before="0" w:after="10"/>
              <w:rPr/>
            </w:pPr>
            <w:r>
              <w:rPr>
                <w:b/>
                <w:color w:val="555B66"/>
                <w:sz w:val="17"/>
              </w:rPr>
              <w:t>Purpose</w:t>
            </w:r>
          </w:p>
        </w:tc>
        <w:tc>
          <w:tcPr>
            <w:tcW w:w="2664" w:type="dxa"/>
            <w:tcBorders/>
          </w:tcPr>
          <w:p>
            <w:pPr>
              <w:pStyle w:val="Normal"/>
              <w:spacing w:before="0" w:after="10"/>
              <w:rPr/>
            </w:pPr>
            <w:r>
              <w:rPr>
                <w:sz w:val="17"/>
              </w:rPr>
              <w:t>Purchase of leased facility; equipment</w:t>
            </w:r>
          </w:p>
        </w:tc>
      </w:tr>
      <w:tr>
        <w:trPr/>
        <w:tc>
          <w:tcPr>
            <w:tcW w:w="2664" w:type="dxa"/>
            <w:tcBorders/>
          </w:tcPr>
          <w:p>
            <w:pPr>
              <w:pStyle w:val="Normal"/>
              <w:spacing w:before="0" w:after="10"/>
              <w:rPr/>
            </w:pPr>
            <w:r>
              <w:rPr>
                <w:b/>
                <w:color w:val="555B66"/>
                <w:sz w:val="17"/>
              </w:rPr>
              <w:t>NAICS</w:t>
            </w:r>
          </w:p>
        </w:tc>
        <w:tc>
          <w:tcPr>
            <w:tcW w:w="2664" w:type="dxa"/>
            <w:tcBorders/>
          </w:tcPr>
          <w:p>
            <w:pPr>
              <w:pStyle w:val="Normal"/>
              <w:spacing w:before="0" w:after="10"/>
              <w:rPr/>
            </w:pPr>
            <w:r>
              <w:rPr>
                <w:sz w:val="17"/>
              </w:rPr>
              <w:t>332322 — Sheet Metal Work Mfg.</w:t>
            </w:r>
          </w:p>
        </w:tc>
        <w:tc>
          <w:tcPr>
            <w:tcW w:w="2664" w:type="dxa"/>
            <w:tcBorders/>
          </w:tcPr>
          <w:p>
            <w:pPr>
              <w:pStyle w:val="Normal"/>
              <w:spacing w:before="0" w:after="10"/>
              <w:rPr/>
            </w:pPr>
            <w:r>
              <w:rPr>
                <w:b/>
                <w:color w:val="555B66"/>
                <w:sz w:val="17"/>
              </w:rPr>
              <w:t>Term / Amortization</w:t>
            </w:r>
          </w:p>
        </w:tc>
        <w:tc>
          <w:tcPr>
            <w:tcW w:w="2664" w:type="dxa"/>
            <w:tcBorders/>
          </w:tcPr>
          <w:p>
            <w:pPr>
              <w:pStyle w:val="Normal"/>
              <w:spacing w:before="0" w:after="10"/>
              <w:rPr/>
            </w:pPr>
            <w:r>
              <w:rPr>
                <w:sz w:val="17"/>
              </w:rPr>
              <w:t>10 years / 20 years</w:t>
            </w:r>
          </w:p>
        </w:tc>
      </w:tr>
      <w:tr>
        <w:trPr/>
        <w:tc>
          <w:tcPr>
            <w:tcW w:w="2664" w:type="dxa"/>
            <w:tcBorders/>
          </w:tcPr>
          <w:p>
            <w:pPr>
              <w:pStyle w:val="Normal"/>
              <w:spacing w:before="0" w:after="10"/>
              <w:rPr/>
            </w:pPr>
            <w:r>
              <w:rPr>
                <w:b/>
                <w:color w:val="555B66"/>
                <w:sz w:val="17"/>
              </w:rPr>
              <w:t>Employees</w:t>
            </w:r>
          </w:p>
        </w:tc>
        <w:tc>
          <w:tcPr>
            <w:tcW w:w="2664" w:type="dxa"/>
            <w:tcBorders/>
          </w:tcPr>
          <w:p>
            <w:pPr>
              <w:pStyle w:val="Normal"/>
              <w:spacing w:before="0" w:after="10"/>
              <w:rPr/>
            </w:pPr>
            <w:r>
              <w:rPr>
                <w:sz w:val="17"/>
              </w:rPr>
              <w:t>34 full-time</w:t>
            </w:r>
          </w:p>
        </w:tc>
        <w:tc>
          <w:tcPr>
            <w:tcW w:w="2664" w:type="dxa"/>
            <w:tcBorders/>
          </w:tcPr>
          <w:p>
            <w:pPr>
              <w:pStyle w:val="Normal"/>
              <w:spacing w:before="0" w:after="10"/>
              <w:rPr/>
            </w:pPr>
            <w:r>
              <w:rPr>
                <w:b/>
                <w:color w:val="555B66"/>
                <w:sz w:val="17"/>
              </w:rPr>
              <w:t>Rate</w:t>
            </w:r>
          </w:p>
        </w:tc>
        <w:tc>
          <w:tcPr>
            <w:tcW w:w="2664" w:type="dxa"/>
            <w:tcBorders/>
          </w:tcPr>
          <w:p>
            <w:pPr>
              <w:pStyle w:val="Normal"/>
              <w:spacing w:before="0" w:after="10"/>
              <w:rPr/>
            </w:pPr>
            <w:r>
              <w:rPr>
                <w:sz w:val="17"/>
              </w:rPr>
              <w:t>7.25% fixed</w:t>
            </w:r>
          </w:p>
        </w:tc>
      </w:tr>
      <w:tr>
        <w:trPr/>
        <w:tc>
          <w:tcPr>
            <w:tcW w:w="2664" w:type="dxa"/>
            <w:tcBorders/>
          </w:tcPr>
          <w:p>
            <w:pPr>
              <w:pStyle w:val="Normal"/>
              <w:spacing w:before="0" w:after="10"/>
              <w:rPr/>
            </w:pPr>
            <w:r>
              <w:rPr>
                <w:b/>
                <w:color w:val="555B66"/>
                <w:sz w:val="17"/>
              </w:rPr>
              <w:t>Application No.</w:t>
            </w:r>
          </w:p>
        </w:tc>
        <w:tc>
          <w:tcPr>
            <w:tcW w:w="2664" w:type="dxa"/>
            <w:tcBorders/>
          </w:tcPr>
          <w:p>
            <w:pPr>
              <w:pStyle w:val="Normal"/>
              <w:spacing w:before="0" w:after="10"/>
              <w:rPr/>
            </w:pPr>
            <w:r>
              <w:rPr>
                <w:sz w:val="17"/>
              </w:rPr>
              <w:t>CL-2026-0847</w:t>
            </w:r>
          </w:p>
        </w:tc>
        <w:tc>
          <w:tcPr>
            <w:tcW w:w="2664" w:type="dxa"/>
            <w:tcBorders/>
          </w:tcPr>
          <w:p>
            <w:pPr>
              <w:pStyle w:val="Normal"/>
              <w:spacing w:before="0" w:after="10"/>
              <w:rPr/>
            </w:pPr>
            <w:r>
              <w:rPr>
                <w:b/>
                <w:color w:val="555B66"/>
                <w:sz w:val="17"/>
              </w:rPr>
              <w:t>Target Close</w:t>
            </w:r>
          </w:p>
        </w:tc>
        <w:tc>
          <w:tcPr>
            <w:tcW w:w="2664" w:type="dxa"/>
            <w:tcBorders/>
          </w:tcPr>
          <w:p>
            <w:pPr>
              <w:pStyle w:val="Normal"/>
              <w:spacing w:before="0" w:after="10"/>
              <w:rPr/>
            </w:pPr>
            <w:r>
              <w:rPr>
                <w:sz w:val="17"/>
              </w:rPr>
              <w:t>October 2026</w:t>
            </w:r>
          </w:p>
        </w:tc>
      </w:tr>
    </w:tbl>
    <w:p>
      <w:pPr>
        <w:pStyle w:val="Normal"/>
        <w:pBdr>
          <w:bottom w:val="single" w:sz="8" w:space="2" w:color="1F355E"/>
        </w:pBdr>
        <w:spacing w:before="140" w:after="40"/>
        <w:rPr/>
      </w:pPr>
      <w:r>
        <w:rPr>
          <w:b/>
          <w:color w:val="1F355E"/>
          <w:sz w:val="16"/>
        </w:rPr>
        <w:t>SOURCES AND USES OF FUNDS</w:t>
      </w:r>
    </w:p>
    <w:tbl>
      <w:tblPr>
        <w:tblW w:w="10656"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5328"/>
        <w:gridCol w:w="5328"/>
      </w:tblGrid>
      <w:tr>
        <w:trPr/>
        <w:tc>
          <w:tcPr>
            <w:tcW w:w="5328" w:type="dxa"/>
            <w:tcBorders/>
          </w:tcPr>
          <w:tbl>
            <w:tblPr>
              <w:tblW w:w="5184"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2592"/>
              <w:gridCol w:w="2592"/>
            </w:tblGrid>
            <w:tr>
              <w:trPr/>
              <w:tc>
                <w:tcPr>
                  <w:tcW w:w="2592" w:type="dxa"/>
                  <w:tcBorders/>
                  <w:shd w:fill="EDF0F5" w:val="clear"/>
                </w:tcPr>
                <w:p>
                  <w:pPr>
                    <w:pStyle w:val="Normal"/>
                    <w:spacing w:before="0" w:after="10"/>
                    <w:rPr/>
                  </w:pPr>
                  <w:r>
                    <w:rPr>
                      <w:b/>
                      <w:color w:val="1F355E"/>
                      <w:sz w:val="17"/>
                    </w:rPr>
                    <w:t>USES</w:t>
                  </w:r>
                </w:p>
              </w:tc>
              <w:tc>
                <w:tcPr>
                  <w:tcW w:w="2592" w:type="dxa"/>
                  <w:tcBorders/>
                  <w:shd w:fill="EDF0F5" w:val="clear"/>
                </w:tcPr>
                <w:p>
                  <w:pPr>
                    <w:pStyle w:val="Normal"/>
                    <w:spacing w:before="0" w:after="10"/>
                    <w:rPr/>
                  </w:pPr>
                  <w:r>
                    <w:rPr/>
                  </w:r>
                </w:p>
              </w:tc>
            </w:tr>
            <w:tr>
              <w:trPr/>
              <w:tc>
                <w:tcPr>
                  <w:tcW w:w="2592" w:type="dxa"/>
                  <w:tcBorders/>
                </w:tcPr>
                <w:p>
                  <w:pPr>
                    <w:pStyle w:val="Normal"/>
                    <w:spacing w:before="0" w:after="10"/>
                    <w:rPr/>
                  </w:pPr>
                  <w:r>
                    <w:rPr>
                      <w:sz w:val="17"/>
                    </w:rPr>
                    <w:t>Facility purchase — 4200 Kestrel Rd</w:t>
                  </w:r>
                </w:p>
              </w:tc>
              <w:tc>
                <w:tcPr>
                  <w:tcW w:w="2592" w:type="dxa"/>
                  <w:tcBorders/>
                </w:tcPr>
                <w:p>
                  <w:pPr>
                    <w:pStyle w:val="Normal"/>
                    <w:spacing w:before="0" w:after="10"/>
                    <w:jc w:val="end"/>
                    <w:rPr/>
                  </w:pPr>
                  <w:r>
                    <w:rPr>
                      <w:sz w:val="17"/>
                    </w:rPr>
                    <w:t>$2,250,000</w:t>
                  </w:r>
                </w:p>
              </w:tc>
            </w:tr>
            <w:tr>
              <w:trPr/>
              <w:tc>
                <w:tcPr>
                  <w:tcW w:w="2592" w:type="dxa"/>
                  <w:tcBorders/>
                </w:tcPr>
                <w:p>
                  <w:pPr>
                    <w:pStyle w:val="Normal"/>
                    <w:spacing w:before="0" w:after="10"/>
                    <w:rPr/>
                  </w:pPr>
                  <w:r>
                    <w:rPr>
                      <w:sz w:val="17"/>
                    </w:rPr>
                    <w:t>Fiber laser cutting system</w:t>
                  </w:r>
                </w:p>
              </w:tc>
              <w:tc>
                <w:tcPr>
                  <w:tcW w:w="2592" w:type="dxa"/>
                  <w:tcBorders/>
                </w:tcPr>
                <w:p>
                  <w:pPr>
                    <w:pStyle w:val="Normal"/>
                    <w:spacing w:before="0" w:after="10"/>
                    <w:jc w:val="end"/>
                    <w:rPr/>
                  </w:pPr>
                  <w:r>
                    <w:rPr>
                      <w:sz w:val="17"/>
                    </w:rPr>
                    <w:t>$310,000</w:t>
                  </w:r>
                </w:p>
              </w:tc>
            </w:tr>
            <w:tr>
              <w:trPr/>
              <w:tc>
                <w:tcPr>
                  <w:tcW w:w="2592" w:type="dxa"/>
                  <w:tcBorders/>
                </w:tcPr>
                <w:p>
                  <w:pPr>
                    <w:pStyle w:val="Normal"/>
                    <w:spacing w:before="0" w:after="10"/>
                    <w:rPr/>
                  </w:pPr>
                  <w:r>
                    <w:rPr>
                      <w:sz w:val="17"/>
                    </w:rPr>
                    <w:t>Closing costs, title, appraisal, legal</w:t>
                  </w:r>
                </w:p>
              </w:tc>
              <w:tc>
                <w:tcPr>
                  <w:tcW w:w="2592" w:type="dxa"/>
                  <w:tcBorders/>
                </w:tcPr>
                <w:p>
                  <w:pPr>
                    <w:pStyle w:val="Normal"/>
                    <w:spacing w:before="0" w:after="10"/>
                    <w:jc w:val="end"/>
                    <w:rPr/>
                  </w:pPr>
                  <w:r>
                    <w:rPr>
                      <w:sz w:val="17"/>
                    </w:rPr>
                    <w:t>$40,000</w:t>
                  </w:r>
                </w:p>
              </w:tc>
            </w:tr>
            <w:tr>
              <w:trPr/>
              <w:tc>
                <w:tcPr>
                  <w:tcW w:w="2592" w:type="dxa"/>
                  <w:tcBorders/>
                  <w:shd w:fill="EDF0F5" w:val="clear"/>
                </w:tcPr>
                <w:p>
                  <w:pPr>
                    <w:pStyle w:val="Normal"/>
                    <w:spacing w:before="0" w:after="10"/>
                    <w:rPr/>
                  </w:pPr>
                  <w:r>
                    <w:rPr>
                      <w:b/>
                      <w:sz w:val="17"/>
                    </w:rPr>
                    <w:t>Total Uses</w:t>
                  </w:r>
                </w:p>
              </w:tc>
              <w:tc>
                <w:tcPr>
                  <w:tcW w:w="2592" w:type="dxa"/>
                  <w:tcBorders/>
                  <w:shd w:fill="EDF0F5" w:val="clear"/>
                </w:tcPr>
                <w:p>
                  <w:pPr>
                    <w:pStyle w:val="Normal"/>
                    <w:spacing w:before="0" w:after="10"/>
                    <w:jc w:val="end"/>
                    <w:rPr/>
                  </w:pPr>
                  <w:r>
                    <w:rPr>
                      <w:b/>
                      <w:sz w:val="17"/>
                    </w:rPr>
                    <w:t>$2,600,000</w:t>
                  </w:r>
                </w:p>
              </w:tc>
            </w:tr>
          </w:tbl>
          <w:p>
            <w:pPr>
              <w:pStyle w:val="Normal"/>
              <w:rPr/>
            </w:pPr>
            <w:r>
              <w:rPr/>
            </w:r>
          </w:p>
        </w:tc>
        <w:tc>
          <w:tcPr>
            <w:tcW w:w="5328" w:type="dxa"/>
            <w:tcBorders/>
          </w:tcPr>
          <w:tbl>
            <w:tblPr>
              <w:tblW w:w="518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592"/>
              <w:gridCol w:w="2592"/>
            </w:tblGrid>
            <w:tr>
              <w:trPr/>
              <w:tc>
                <w:tcPr>
                  <w:tcW w:w="2592" w:type="dxa"/>
                  <w:tcBorders/>
                  <w:shd w:fill="EDF0F5" w:val="clear"/>
                </w:tcPr>
                <w:p>
                  <w:pPr>
                    <w:pStyle w:val="Normal"/>
                    <w:spacing w:before="0" w:after="10"/>
                    <w:rPr/>
                  </w:pPr>
                  <w:r>
                    <w:rPr>
                      <w:b/>
                      <w:color w:val="1F355E"/>
                      <w:sz w:val="17"/>
                    </w:rPr>
                    <w:t>SOURCES</w:t>
                  </w:r>
                </w:p>
              </w:tc>
              <w:tc>
                <w:tcPr>
                  <w:tcW w:w="2592" w:type="dxa"/>
                  <w:tcBorders/>
                  <w:shd w:fill="EDF0F5" w:val="clear"/>
                </w:tcPr>
                <w:p>
                  <w:pPr>
                    <w:pStyle w:val="Normal"/>
                    <w:spacing w:before="0" w:after="10"/>
                    <w:rPr/>
                  </w:pPr>
                  <w:r>
                    <w:rPr/>
                  </w:r>
                </w:p>
              </w:tc>
            </w:tr>
            <w:tr>
              <w:trPr/>
              <w:tc>
                <w:tcPr>
                  <w:tcW w:w="2592" w:type="dxa"/>
                  <w:tcBorders/>
                </w:tcPr>
                <w:p>
                  <w:pPr>
                    <w:pStyle w:val="Normal"/>
                    <w:spacing w:before="0" w:after="10"/>
                    <w:rPr/>
                  </w:pPr>
                  <w:r>
                    <w:rPr>
                      <w:sz w:val="17"/>
                    </w:rPr>
                    <w:t>Proposed bank term loan</w:t>
                  </w:r>
                </w:p>
              </w:tc>
              <w:tc>
                <w:tcPr>
                  <w:tcW w:w="2592" w:type="dxa"/>
                  <w:tcBorders/>
                </w:tcPr>
                <w:p>
                  <w:pPr>
                    <w:pStyle w:val="Normal"/>
                    <w:spacing w:before="0" w:after="10"/>
                    <w:jc w:val="end"/>
                    <w:rPr/>
                  </w:pPr>
                  <w:r>
                    <w:rPr>
                      <w:sz w:val="17"/>
                    </w:rPr>
                    <w:t>$1,800,000</w:t>
                  </w:r>
                </w:p>
              </w:tc>
            </w:tr>
            <w:tr>
              <w:trPr/>
              <w:tc>
                <w:tcPr>
                  <w:tcW w:w="2592" w:type="dxa"/>
                  <w:tcBorders/>
                </w:tcPr>
                <w:p>
                  <w:pPr>
                    <w:pStyle w:val="Normal"/>
                    <w:spacing w:before="0" w:after="10"/>
                    <w:rPr/>
                  </w:pPr>
                  <w:r>
                    <w:rPr>
                      <w:sz w:val="17"/>
                    </w:rPr>
                    <w:t>Borrower cash equity (25.0%)</w:t>
                  </w:r>
                </w:p>
              </w:tc>
              <w:tc>
                <w:tcPr>
                  <w:tcW w:w="2592" w:type="dxa"/>
                  <w:tcBorders/>
                </w:tcPr>
                <w:p>
                  <w:pPr>
                    <w:pStyle w:val="Normal"/>
                    <w:spacing w:before="0" w:after="10"/>
                    <w:jc w:val="end"/>
                    <w:rPr/>
                  </w:pPr>
                  <w:r>
                    <w:rPr>
                      <w:sz w:val="17"/>
                    </w:rPr>
                    <w:t>$650,000</w:t>
                  </w:r>
                </w:p>
              </w:tc>
            </w:tr>
            <w:tr>
              <w:trPr/>
              <w:tc>
                <w:tcPr>
                  <w:tcW w:w="2592" w:type="dxa"/>
                  <w:tcBorders/>
                </w:tcPr>
                <w:p>
                  <w:pPr>
                    <w:pStyle w:val="Normal"/>
                    <w:spacing w:before="0" w:after="10"/>
                    <w:rPr/>
                  </w:pPr>
                  <w:r>
                    <w:rPr>
                      <w:sz w:val="17"/>
                    </w:rPr>
                    <w:t>Seller subordinated note (5 yr, 6.0%)</w:t>
                  </w:r>
                </w:p>
              </w:tc>
              <w:tc>
                <w:tcPr>
                  <w:tcW w:w="2592" w:type="dxa"/>
                  <w:tcBorders/>
                </w:tcPr>
                <w:p>
                  <w:pPr>
                    <w:pStyle w:val="Normal"/>
                    <w:spacing w:before="0" w:after="10"/>
                    <w:jc w:val="end"/>
                    <w:rPr/>
                  </w:pPr>
                  <w:r>
                    <w:rPr>
                      <w:sz w:val="17"/>
                    </w:rPr>
                    <w:t>$150,000</w:t>
                  </w:r>
                </w:p>
              </w:tc>
            </w:tr>
            <w:tr>
              <w:trPr/>
              <w:tc>
                <w:tcPr>
                  <w:tcW w:w="2592" w:type="dxa"/>
                  <w:tcBorders/>
                  <w:shd w:fill="EDF0F5" w:val="clear"/>
                </w:tcPr>
                <w:p>
                  <w:pPr>
                    <w:pStyle w:val="Normal"/>
                    <w:spacing w:before="0" w:after="10"/>
                    <w:rPr/>
                  </w:pPr>
                  <w:r>
                    <w:rPr>
                      <w:b/>
                      <w:sz w:val="17"/>
                    </w:rPr>
                    <w:t>Total Sources</w:t>
                  </w:r>
                </w:p>
              </w:tc>
              <w:tc>
                <w:tcPr>
                  <w:tcW w:w="2592" w:type="dxa"/>
                  <w:tcBorders/>
                  <w:shd w:fill="EDF0F5" w:val="clear"/>
                </w:tcPr>
                <w:p>
                  <w:pPr>
                    <w:pStyle w:val="Normal"/>
                    <w:spacing w:before="0" w:after="10"/>
                    <w:jc w:val="end"/>
                    <w:rPr/>
                  </w:pPr>
                  <w:r>
                    <w:rPr>
                      <w:b/>
                      <w:sz w:val="17"/>
                    </w:rPr>
                    <w:t>$2,600,000</w:t>
                  </w:r>
                </w:p>
              </w:tc>
            </w:tr>
          </w:tbl>
          <w:p>
            <w:pPr>
              <w:pStyle w:val="Normal"/>
              <w:rPr/>
            </w:pPr>
            <w:r>
              <w:rPr/>
            </w:r>
          </w:p>
        </w:tc>
      </w:tr>
    </w:tbl>
    <w:p>
      <w:pPr>
        <w:pStyle w:val="Normal"/>
        <w:pBdr>
          <w:bottom w:val="single" w:sz="8" w:space="2" w:color="1F355E"/>
        </w:pBdr>
        <w:spacing w:before="140" w:after="40"/>
        <w:rPr/>
      </w:pPr>
      <w:r>
        <w:rPr>
          <w:b/>
          <w:color w:val="1F355E"/>
          <w:sz w:val="16"/>
        </w:rPr>
        <w:t>BUSINESS BACKGROUND AND MANAGEMENT</w:t>
      </w:r>
    </w:p>
    <w:p>
      <w:pPr>
        <w:pStyle w:val="Normal"/>
        <w:spacing w:before="0" w:after="0"/>
        <w:jc w:val="both"/>
        <w:rPr/>
      </w:pPr>
      <w:r>
        <w:rPr>
          <w:sz w:val="17"/>
        </w:rPr>
        <w:t>Harbor Point Fabrication has operated as a precision sheet metal and structural fabrication shop since 2013, supplying regional HVAC equipment and food-processing OEMs from the leased 28,400 sq ft facility it now proposes to purchase. Marcus Delaney, President and 60% member, has 22 years in metal fabrication, including nine years as plant manager at Toledo Structural Products before founding the company. Priya Raghunathan, VP Operations and 40% member, joined in 2015 and brings 11 years of process engineering experience. The company holds AWS D1.1 welding certification and ISO 9001:2015 registration, renewed February 2026.</w:t>
      </w:r>
    </w:p>
    <w:p>
      <w:pPr>
        <w:pStyle w:val="Normal"/>
        <w:pBdr>
          <w:bottom w:val="single" w:sz="8" w:space="2" w:color="1F355E"/>
        </w:pBdr>
        <w:spacing w:before="140" w:after="40"/>
        <w:rPr/>
      </w:pPr>
      <w:r>
        <w:rPr>
          <w:b/>
          <w:color w:val="1F355E"/>
          <w:sz w:val="16"/>
        </w:rPr>
        <w:t>FINANCIAL SUMMARY (FISCAL YEAR ENDS DECEMBER 31)</w:t>
      </w:r>
    </w:p>
    <w:tbl>
      <w:tblPr>
        <w:tblW w:w="10656"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2664"/>
        <w:gridCol w:w="2664"/>
        <w:gridCol w:w="2664"/>
        <w:gridCol w:w="2664"/>
      </w:tblGrid>
      <w:tr>
        <w:trPr/>
        <w:tc>
          <w:tcPr>
            <w:tcW w:w="2664" w:type="dxa"/>
            <w:tcBorders/>
          </w:tcPr>
          <w:p>
            <w:pPr>
              <w:pStyle w:val="Normal"/>
              <w:spacing w:before="0" w:after="10"/>
              <w:rPr/>
            </w:pPr>
            <w:r>
              <w:rPr>
                <w:b/>
                <w:color w:val="555B66"/>
                <w:sz w:val="17"/>
              </w:rPr>
              <w:t>FY2023 Revenue</w:t>
            </w:r>
          </w:p>
        </w:tc>
        <w:tc>
          <w:tcPr>
            <w:tcW w:w="2664" w:type="dxa"/>
            <w:tcBorders/>
          </w:tcPr>
          <w:p>
            <w:pPr>
              <w:pStyle w:val="Normal"/>
              <w:spacing w:before="0" w:after="10"/>
              <w:rPr/>
            </w:pPr>
            <w:r>
              <w:rPr>
                <w:sz w:val="17"/>
              </w:rPr>
              <w:t>$3,920,000</w:t>
            </w:r>
          </w:p>
        </w:tc>
        <w:tc>
          <w:tcPr>
            <w:tcW w:w="2664" w:type="dxa"/>
            <w:tcBorders/>
          </w:tcPr>
          <w:p>
            <w:pPr>
              <w:pStyle w:val="Normal"/>
              <w:spacing w:before="0" w:after="10"/>
              <w:rPr/>
            </w:pPr>
            <w:r>
              <w:rPr>
                <w:b/>
                <w:color w:val="555B66"/>
                <w:sz w:val="17"/>
              </w:rPr>
              <w:t>Annual debt service — existing equip. notes</w:t>
            </w:r>
          </w:p>
        </w:tc>
        <w:tc>
          <w:tcPr>
            <w:tcW w:w="2664" w:type="dxa"/>
            <w:tcBorders/>
          </w:tcPr>
          <w:p>
            <w:pPr>
              <w:pStyle w:val="Normal"/>
              <w:spacing w:before="0" w:after="10"/>
              <w:rPr/>
            </w:pPr>
            <w:r>
              <w:rPr>
                <w:sz w:val="17"/>
              </w:rPr>
              <w:t>$48,000</w:t>
            </w:r>
          </w:p>
        </w:tc>
      </w:tr>
      <w:tr>
        <w:trPr/>
        <w:tc>
          <w:tcPr>
            <w:tcW w:w="2664" w:type="dxa"/>
            <w:tcBorders/>
          </w:tcPr>
          <w:p>
            <w:pPr>
              <w:pStyle w:val="Normal"/>
              <w:spacing w:before="0" w:after="10"/>
              <w:rPr/>
            </w:pPr>
            <w:r>
              <w:rPr>
                <w:b/>
                <w:color w:val="555B66"/>
                <w:sz w:val="17"/>
              </w:rPr>
              <w:t>FY2024 Revenue</w:t>
            </w:r>
          </w:p>
        </w:tc>
        <w:tc>
          <w:tcPr>
            <w:tcW w:w="2664" w:type="dxa"/>
            <w:tcBorders/>
          </w:tcPr>
          <w:p>
            <w:pPr>
              <w:pStyle w:val="Normal"/>
              <w:spacing w:before="0" w:after="10"/>
              <w:rPr/>
            </w:pPr>
            <w:r>
              <w:rPr>
                <w:sz w:val="17"/>
              </w:rPr>
              <w:t>$4,310,000</w:t>
            </w:r>
          </w:p>
        </w:tc>
        <w:tc>
          <w:tcPr>
            <w:tcW w:w="2664" w:type="dxa"/>
            <w:tcBorders/>
          </w:tcPr>
          <w:p>
            <w:pPr>
              <w:pStyle w:val="Normal"/>
              <w:spacing w:before="0" w:after="10"/>
              <w:rPr/>
            </w:pPr>
            <w:r>
              <w:rPr>
                <w:b/>
                <w:color w:val="555B66"/>
                <w:sz w:val="17"/>
              </w:rPr>
              <w:t>Annual debt service — seller note</w:t>
            </w:r>
          </w:p>
        </w:tc>
        <w:tc>
          <w:tcPr>
            <w:tcW w:w="2664" w:type="dxa"/>
            <w:tcBorders/>
          </w:tcPr>
          <w:p>
            <w:pPr>
              <w:pStyle w:val="Normal"/>
              <w:spacing w:before="0" w:after="10"/>
              <w:rPr/>
            </w:pPr>
            <w:r>
              <w:rPr>
                <w:sz w:val="17"/>
              </w:rPr>
              <w:t>$34,800</w:t>
            </w:r>
          </w:p>
        </w:tc>
      </w:tr>
      <w:tr>
        <w:trPr/>
        <w:tc>
          <w:tcPr>
            <w:tcW w:w="2664" w:type="dxa"/>
            <w:tcBorders/>
          </w:tcPr>
          <w:p>
            <w:pPr>
              <w:pStyle w:val="Normal"/>
              <w:spacing w:before="0" w:after="10"/>
              <w:rPr/>
            </w:pPr>
            <w:r>
              <w:rPr>
                <w:b/>
                <w:color w:val="555B66"/>
                <w:sz w:val="17"/>
              </w:rPr>
              <w:t>FY2025 Revenue</w:t>
            </w:r>
          </w:p>
        </w:tc>
        <w:tc>
          <w:tcPr>
            <w:tcW w:w="2664" w:type="dxa"/>
            <w:tcBorders/>
          </w:tcPr>
          <w:p>
            <w:pPr>
              <w:pStyle w:val="Normal"/>
              <w:spacing w:before="0" w:after="10"/>
              <w:rPr/>
            </w:pPr>
            <w:r>
              <w:rPr>
                <w:sz w:val="17"/>
              </w:rPr>
              <w:t>$4,850,000  (+12.5%)</w:t>
            </w:r>
          </w:p>
        </w:tc>
        <w:tc>
          <w:tcPr>
            <w:tcW w:w="2664" w:type="dxa"/>
            <w:tcBorders/>
          </w:tcPr>
          <w:p>
            <w:pPr>
              <w:pStyle w:val="Normal"/>
              <w:spacing w:before="0" w:after="10"/>
              <w:rPr/>
            </w:pPr>
            <w:r>
              <w:rPr>
                <w:b/>
                <w:color w:val="555B66"/>
                <w:sz w:val="17"/>
              </w:rPr>
              <w:t>Total annual debt service (post-close)</w:t>
            </w:r>
          </w:p>
        </w:tc>
        <w:tc>
          <w:tcPr>
            <w:tcW w:w="2664" w:type="dxa"/>
            <w:tcBorders/>
          </w:tcPr>
          <w:p>
            <w:pPr>
              <w:pStyle w:val="Normal"/>
              <w:spacing w:before="0" w:after="10"/>
              <w:rPr/>
            </w:pPr>
            <w:r>
              <w:rPr>
                <w:sz w:val="17"/>
              </w:rPr>
              <w:t>$253,500</w:t>
            </w:r>
          </w:p>
        </w:tc>
      </w:tr>
      <w:tr>
        <w:trPr/>
        <w:tc>
          <w:tcPr>
            <w:tcW w:w="2664" w:type="dxa"/>
            <w:tcBorders/>
          </w:tcPr>
          <w:p>
            <w:pPr>
              <w:pStyle w:val="Normal"/>
              <w:spacing w:before="0" w:after="10"/>
              <w:rPr/>
            </w:pPr>
            <w:r>
              <w:rPr>
                <w:b/>
                <w:color w:val="555B66"/>
                <w:sz w:val="17"/>
              </w:rPr>
              <w:t>FY2025 EBITDA</w:t>
            </w:r>
          </w:p>
        </w:tc>
        <w:tc>
          <w:tcPr>
            <w:tcW w:w="2664" w:type="dxa"/>
            <w:tcBorders/>
          </w:tcPr>
          <w:p>
            <w:pPr>
              <w:pStyle w:val="Normal"/>
              <w:spacing w:before="0" w:after="10"/>
              <w:rPr/>
            </w:pPr>
            <w:r>
              <w:rPr>
                <w:sz w:val="17"/>
              </w:rPr>
              <w:t>$296,000</w:t>
            </w:r>
          </w:p>
        </w:tc>
        <w:tc>
          <w:tcPr>
            <w:tcW w:w="2664" w:type="dxa"/>
            <w:tcBorders/>
          </w:tcPr>
          <w:p>
            <w:pPr>
              <w:pStyle w:val="Normal"/>
              <w:spacing w:before="0" w:after="10"/>
              <w:rPr/>
            </w:pPr>
            <w:r>
              <w:rPr>
                <w:b/>
                <w:color w:val="555B66"/>
                <w:sz w:val="17"/>
              </w:rPr>
              <w:t>Debt Service Coverage Ratio (post-close)</w:t>
            </w:r>
          </w:p>
        </w:tc>
        <w:tc>
          <w:tcPr>
            <w:tcW w:w="2664" w:type="dxa"/>
            <w:tcBorders/>
          </w:tcPr>
          <w:p>
            <w:pPr>
              <w:pStyle w:val="Normal"/>
              <w:spacing w:before="0" w:after="10"/>
              <w:rPr/>
            </w:pPr>
            <w:r>
              <w:rPr>
                <w:sz w:val="17"/>
              </w:rPr>
              <w:t>1.29x</w:t>
            </w:r>
          </w:p>
        </w:tc>
      </w:tr>
      <w:tr>
        <w:trPr/>
        <w:tc>
          <w:tcPr>
            <w:tcW w:w="2664" w:type="dxa"/>
            <w:tcBorders/>
          </w:tcPr>
          <w:p>
            <w:pPr>
              <w:pStyle w:val="Normal"/>
              <w:spacing w:before="0" w:after="10"/>
              <w:rPr/>
            </w:pPr>
            <w:r>
              <w:rPr>
                <w:b/>
                <w:color w:val="555B66"/>
                <w:sz w:val="17"/>
              </w:rPr>
              <w:t>Add-back: one-time ERP implementation</w:t>
            </w:r>
          </w:p>
        </w:tc>
        <w:tc>
          <w:tcPr>
            <w:tcW w:w="2664" w:type="dxa"/>
            <w:tcBorders/>
          </w:tcPr>
          <w:p>
            <w:pPr>
              <w:pStyle w:val="Normal"/>
              <w:spacing w:before="0" w:after="10"/>
              <w:rPr/>
            </w:pPr>
            <w:r>
              <w:rPr>
                <w:sz w:val="17"/>
              </w:rPr>
              <w:t>$32,000</w:t>
            </w:r>
          </w:p>
        </w:tc>
        <w:tc>
          <w:tcPr>
            <w:tcW w:w="2664" w:type="dxa"/>
            <w:tcBorders/>
          </w:tcPr>
          <w:p>
            <w:pPr>
              <w:pStyle w:val="Normal"/>
              <w:spacing w:before="0" w:after="10"/>
              <w:rPr/>
            </w:pPr>
            <w:r>
              <w:rPr>
                <w:b/>
                <w:color w:val="555B66"/>
                <w:sz w:val="17"/>
              </w:rPr>
              <w:t>Cash and equivalents at 6/30/26</w:t>
            </w:r>
          </w:p>
        </w:tc>
        <w:tc>
          <w:tcPr>
            <w:tcW w:w="2664" w:type="dxa"/>
            <w:tcBorders/>
          </w:tcPr>
          <w:p>
            <w:pPr>
              <w:pStyle w:val="Normal"/>
              <w:spacing w:before="0" w:after="10"/>
              <w:rPr/>
            </w:pPr>
            <w:r>
              <w:rPr>
                <w:sz w:val="17"/>
              </w:rPr>
              <w:t>$285,000  (~3.4 months opex)</w:t>
            </w:r>
          </w:p>
        </w:tc>
      </w:tr>
      <w:tr>
        <w:trPr/>
        <w:tc>
          <w:tcPr>
            <w:tcW w:w="2664" w:type="dxa"/>
            <w:tcBorders/>
          </w:tcPr>
          <w:p>
            <w:pPr>
              <w:pStyle w:val="Normal"/>
              <w:spacing w:before="0" w:after="10"/>
              <w:rPr/>
            </w:pPr>
            <w:r>
              <w:rPr>
                <w:b/>
                <w:color w:val="555B66"/>
                <w:sz w:val="17"/>
              </w:rPr>
              <w:t>Adjusted EBITDA</w:t>
            </w:r>
          </w:p>
        </w:tc>
        <w:tc>
          <w:tcPr>
            <w:tcW w:w="2664" w:type="dxa"/>
            <w:tcBorders/>
          </w:tcPr>
          <w:p>
            <w:pPr>
              <w:pStyle w:val="Normal"/>
              <w:spacing w:before="0" w:after="10"/>
              <w:rPr/>
            </w:pPr>
            <w:r>
              <w:rPr>
                <w:sz w:val="17"/>
              </w:rPr>
              <w:t>$328,000</w:t>
            </w:r>
          </w:p>
        </w:tc>
        <w:tc>
          <w:tcPr>
            <w:tcW w:w="2664" w:type="dxa"/>
            <w:tcBorders/>
          </w:tcPr>
          <w:p>
            <w:pPr>
              <w:pStyle w:val="Normal"/>
              <w:spacing w:before="0" w:after="10"/>
              <w:rPr/>
            </w:pPr>
            <w:r>
              <w:rPr>
                <w:b/>
                <w:color w:val="555B66"/>
                <w:sz w:val="17"/>
              </w:rPr>
              <w:t>Tangible net worth at 12/31/25</w:t>
            </w:r>
          </w:p>
        </w:tc>
        <w:tc>
          <w:tcPr>
            <w:tcW w:w="2664" w:type="dxa"/>
            <w:tcBorders/>
          </w:tcPr>
          <w:p>
            <w:pPr>
              <w:pStyle w:val="Normal"/>
              <w:spacing w:before="0" w:after="10"/>
              <w:rPr/>
            </w:pPr>
            <w:r>
              <w:rPr>
                <w:sz w:val="17"/>
              </w:rPr>
              <w:t>$1,140,000</w:t>
            </w:r>
          </w:p>
        </w:tc>
      </w:tr>
      <w:tr>
        <w:trPr/>
        <w:tc>
          <w:tcPr>
            <w:tcW w:w="2664" w:type="dxa"/>
            <w:tcBorders/>
          </w:tcPr>
          <w:p>
            <w:pPr>
              <w:pStyle w:val="Normal"/>
              <w:spacing w:before="0" w:after="10"/>
              <w:rPr/>
            </w:pPr>
            <w:r>
              <w:rPr>
                <w:b/>
                <w:color w:val="555B66"/>
                <w:sz w:val="17"/>
              </w:rPr>
              <w:t>Annual debt service — new bank loan</w:t>
            </w:r>
          </w:p>
        </w:tc>
        <w:tc>
          <w:tcPr>
            <w:tcW w:w="2664" w:type="dxa"/>
            <w:tcBorders/>
          </w:tcPr>
          <w:p>
            <w:pPr>
              <w:pStyle w:val="Normal"/>
              <w:spacing w:before="0" w:after="10"/>
              <w:rPr/>
            </w:pPr>
            <w:r>
              <w:rPr>
                <w:sz w:val="17"/>
              </w:rPr>
              <w:t>$170,700</w:t>
            </w:r>
          </w:p>
        </w:tc>
        <w:tc>
          <w:tcPr>
            <w:tcW w:w="2664" w:type="dxa"/>
            <w:tcBorders/>
          </w:tcPr>
          <w:p>
            <w:pPr>
              <w:pStyle w:val="Normal"/>
              <w:spacing w:before="0" w:after="10"/>
              <w:rPr/>
            </w:pPr>
            <w:r>
              <w:rPr/>
            </w:r>
          </w:p>
        </w:tc>
        <w:tc>
          <w:tcPr>
            <w:tcW w:w="2664" w:type="dxa"/>
            <w:tcBorders/>
          </w:tcPr>
          <w:p>
            <w:pPr>
              <w:pStyle w:val="Normal"/>
              <w:spacing w:before="0" w:after="10"/>
              <w:rPr/>
            </w:pPr>
            <w:r>
              <w:rPr/>
            </w:r>
          </w:p>
        </w:tc>
      </w:tr>
    </w:tbl>
    <w:p>
      <w:pPr>
        <w:pStyle w:val="Normal"/>
        <w:pBdr>
          <w:bottom w:val="single" w:sz="8" w:space="2" w:color="1F355E"/>
        </w:pBdr>
        <w:spacing w:before="140" w:after="40"/>
        <w:rPr/>
      </w:pPr>
      <w:r>
        <w:rPr>
          <w:b/>
          <w:color w:val="1F355E"/>
          <w:sz w:val="16"/>
        </w:rPr>
        <w:t>COLLATERAL AND GUARANTEES</w:t>
      </w:r>
    </w:p>
    <w:p>
      <w:pPr>
        <w:pStyle w:val="Normal"/>
        <w:spacing w:before="0" w:after="0"/>
        <w:jc w:val="both"/>
        <w:rPr/>
      </w:pPr>
      <w:r>
        <w:rPr>
          <w:sz w:val="17"/>
        </w:rPr>
        <w:t>First mortgage lien on 4200 Kestrel Road, a 28,400 sq ft facility on 3.1 acres, appraised at $2,450,000 by Kessler Valuation Group, MAI, report dated March 18, 2026 using the income and sales comparison approaches. Resulting loan-to-value is 73.5%. The Bank will also hold a first-position UCC-1 blanket lien on all business assets, including the financed equipment. Unlimited personal guarantees are offered by both Delaney and Raghunathan.</w:t>
      </w:r>
    </w:p>
    <w:p>
      <w:pPr>
        <w:pStyle w:val="Normal"/>
        <w:pBdr>
          <w:bottom w:val="single" w:sz="8" w:space="2" w:color="1F355E"/>
        </w:pBdr>
        <w:spacing w:before="140" w:after="40"/>
        <w:rPr/>
      </w:pPr>
      <w:r>
        <w:rPr>
          <w:b/>
          <w:color w:val="1F355E"/>
          <w:sz w:val="16"/>
        </w:rPr>
        <w:t>INDUSTRY AND MARKET CONDITIONS</w:t>
      </w:r>
    </w:p>
    <w:p>
      <w:pPr>
        <w:pStyle w:val="Normal"/>
        <w:spacing w:before="0" w:after="0"/>
        <w:jc w:val="both"/>
        <w:rPr/>
      </w:pPr>
      <w:r>
        <w:rPr>
          <w:sz w:val="17"/>
        </w:rPr>
        <w:t>Regional demand for fabricated metal components has remained stable, supported by HVAC equipment production across northwest Ohio and southeast Michigan. Backlog at June 30, 2026 was $1,900,000, roughly 4.7 months of production. The company's largest customer, Cardinal Air Systems, represented 31% of FY2025 revenue under a supply agreement running through December 2027. Management reports active quoting with three prospective accounts intended to reduce this concentration. Raw steel pricing has been volatile, though customer contracts include quarterly material escalators.</w:t>
      </w:r>
    </w:p>
    <w:p>
      <w:pPr>
        <w:pStyle w:val="Normal"/>
        <w:pBdr>
          <w:bottom w:val="single" w:sz="8" w:space="2" w:color="1F355E"/>
        </w:pBdr>
        <w:spacing w:before="140" w:after="40"/>
        <w:rPr/>
      </w:pPr>
      <w:r>
        <w:rPr>
          <w:b/>
          <w:color w:val="1F355E"/>
          <w:sz w:val="16"/>
        </w:rPr>
        <w:t>CREDIT HISTORY AND OTHER DISCLOSURES</w:t>
      </w:r>
    </w:p>
    <w:p>
      <w:pPr>
        <w:pStyle w:val="Normal"/>
        <w:spacing w:before="0" w:after="0"/>
        <w:jc w:val="both"/>
        <w:rPr/>
      </w:pPr>
      <w:r>
        <w:rPr>
          <w:sz w:val="17"/>
        </w:rPr>
        <w:t>Business Paydex score of 78. Personal FICO scores: Delaney 742, Raghunathan 761. The borrower has maintained a deposit relationship with the Bank since 2016 with no NSF activity, and paid two prior equipment notes as agreed with no past dues. A State of Ohio tax lien of $14,200 was filed in April 2022 relating to a disputed Commercial Activity Tax assessment; the matter was resolved and the lien released in full in January 2023. No litigation is pending against the borrower or its principals, and neither principal has filed for bankruptcy.</w:t>
      </w:r>
    </w:p>
    <w:p>
      <w:pPr>
        <w:pStyle w:val="Normal"/>
        <w:pBdr>
          <w:bottom w:val="single" w:sz="6" w:space="2" w:color="AAB0BA"/>
        </w:pBdr>
        <w:spacing w:before="140" w:after="0"/>
        <w:rPr/>
      </w:pPr>
      <w:r>
        <w:rPr/>
      </w:r>
    </w:p>
    <w:p>
      <w:pPr>
        <w:pStyle w:val="Normal"/>
        <w:spacing w:before="40" w:after="0"/>
        <w:rPr/>
      </w:pPr>
      <w:r>
        <w:rPr>
          <w:color w:val="555B66"/>
          <w:sz w:val="14"/>
        </w:rPr>
        <w:t>Prepared by: D. Whitfield, Commercial Relationship Manager  •  Submitted 03 August 2026  •  Credit Administration review pending</w:t>
      </w:r>
    </w:p>
    <w:sectPr>
      <w:type w:val="nextPage"/>
      <w:pgSz w:w="12240" w:h="15840"/>
      <w:pgMar w:left="792" w:right="792" w:gutter="0" w:header="0" w:top="340" w:footer="0" w:bottom="3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0"/>
      <w:jc w:val="start"/>
    </w:pPr>
    <w:rPr>
      <w:rFonts w:ascii="Calibri" w:hAnsi="Calibri" w:eastAsia="ＭＳ 明朝" w:cs="" w:cstheme="minorBidi" w:eastAsiaTheme="minorEastAsia"/>
      <w:color w:val="auto"/>
      <w:kern w:val="0"/>
      <w:sz w:val="17"/>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Unicode M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Unicode M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start="720"/>
      <w:contextualSpacing/>
    </w:pPr>
    <w:rPr/>
  </w:style>
  <w:style w:type="paragraph" w:styleId="List3">
    <w:name w:val="List 3"/>
    <w:basedOn w:val="Normal"/>
    <w:uiPriority w:val="99"/>
    <w:unhideWhenUsed/>
    <w:qFormat/>
    <w:rsid w:val="00326f90"/>
    <w:pPr>
      <w:spacing w:before="0" w:after="0"/>
      <w:ind w:hanging="360" w:star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Application>LibreOffice/26.2.5.2$Windows_X86_64 LibreOffice_project/cd7284b4cbbfeb507e630c1aac019f4157393acb</Application>
  <AppVersion>15.0000</AppVersion>
  <Pages>1</Pages>
  <Words>565</Words>
  <Characters>3367</Characters>
  <CharactersWithSpaces>3863</CharactersWithSpaces>
  <Paragraphs>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en-GB</dc:language>
  <cp:lastModifiedBy/>
  <dcterms:modified xsi:type="dcterms:W3CDTF">2026-08-05T11:49:11Z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