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0B77B" w14:textId="56412019" w:rsidR="00A01B52" w:rsidRPr="000F3731" w:rsidRDefault="00A01769" w:rsidP="000F3731">
      <w:pPr>
        <w:pStyle w:val="Heading1"/>
        <w:spacing w:line="216" w:lineRule="auto"/>
        <w:jc w:val="center"/>
        <w:rPr>
          <w:sz w:val="28"/>
          <w:szCs w:val="28"/>
        </w:rPr>
      </w:pPr>
      <w:r w:rsidRPr="000F3731">
        <w:rPr>
          <w:sz w:val="28"/>
          <w:szCs w:val="28"/>
        </w:rPr>
        <w:t>Adaptive Gold/Silver-Bitcoin Hedging Strategy</w:t>
      </w:r>
    </w:p>
    <w:p w14:paraId="1B7948CF" w14:textId="734494C5" w:rsidR="000F3731" w:rsidRPr="000F3731" w:rsidRDefault="000F3731" w:rsidP="000F3731">
      <w:pPr>
        <w:pStyle w:val="Heading1"/>
        <w:spacing w:line="216" w:lineRule="auto"/>
        <w:jc w:val="center"/>
        <w:rPr>
          <w:sz w:val="28"/>
          <w:szCs w:val="28"/>
        </w:rPr>
      </w:pPr>
      <w:r w:rsidRPr="000F3731">
        <w:rPr>
          <w:noProof/>
          <w:sz w:val="28"/>
          <w:szCs w:val="28"/>
        </w:rPr>
        <w:drawing>
          <wp:inline distT="0" distB="0" distL="0" distR="0" wp14:anchorId="290C3CCF" wp14:editId="3411E11A">
            <wp:extent cx="6858000" cy="1630680"/>
            <wp:effectExtent l="0" t="0" r="0" b="0"/>
            <wp:docPr id="1" name="Picture 1" descr="A graph showing the number of ye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showing the number of yea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A688" w14:textId="77777777" w:rsidR="00A01B52" w:rsidRPr="000F3731" w:rsidRDefault="00A01769" w:rsidP="000F3731">
      <w:pPr>
        <w:pStyle w:val="Heading2"/>
        <w:spacing w:line="216" w:lineRule="auto"/>
        <w:rPr>
          <w:sz w:val="24"/>
          <w:szCs w:val="24"/>
        </w:rPr>
      </w:pPr>
      <w:r w:rsidRPr="000F3731">
        <w:rPr>
          <w:sz w:val="24"/>
          <w:szCs w:val="24"/>
        </w:rPr>
        <w:t>Overview</w:t>
      </w:r>
    </w:p>
    <w:p w14:paraId="52ADA0D9" w14:textId="77777777" w:rsidR="00A01B52" w:rsidRPr="000F3731" w:rsidRDefault="00A01769" w:rsidP="000F3731">
      <w:pPr>
        <w:spacing w:after="120" w:line="216" w:lineRule="auto"/>
        <w:rPr>
          <w:sz w:val="21"/>
          <w:szCs w:val="21"/>
        </w:rPr>
      </w:pPr>
      <w:r w:rsidRPr="000F3731">
        <w:rPr>
          <w:sz w:val="21"/>
          <w:szCs w:val="21"/>
        </w:rPr>
        <w:t>This strategy exploits the time-varying correlation between precious metals (Gold, Silver) and Bitcoin to generate alpha through adaptive position sizing. The core insight is that Gold-BTC correlation fluctuates significantly across market regimes (ranging from -0.10 to +0.50), and precious metals can serve as a leading indicator for Bitcoin corrections during periods of elevated correlation.</w:t>
      </w:r>
    </w:p>
    <w:p w14:paraId="6A007ED2" w14:textId="77777777" w:rsidR="00A01B52" w:rsidRPr="000F3731" w:rsidRDefault="00A01769" w:rsidP="000F3731">
      <w:pPr>
        <w:pStyle w:val="Heading2"/>
        <w:spacing w:line="216" w:lineRule="auto"/>
        <w:rPr>
          <w:sz w:val="24"/>
          <w:szCs w:val="24"/>
        </w:rPr>
      </w:pPr>
      <w:r w:rsidRPr="000F3731">
        <w:rPr>
          <w:sz w:val="24"/>
          <w:szCs w:val="24"/>
        </w:rPr>
        <w:t>Market Phase Detection</w:t>
      </w:r>
    </w:p>
    <w:p w14:paraId="300E1DE6" w14:textId="77777777" w:rsidR="00A01B52" w:rsidRPr="000F3731" w:rsidRDefault="00A01769" w:rsidP="000F3731">
      <w:pPr>
        <w:spacing w:after="120" w:line="216" w:lineRule="auto"/>
        <w:rPr>
          <w:sz w:val="21"/>
          <w:szCs w:val="21"/>
        </w:rPr>
      </w:pPr>
      <w:r w:rsidRPr="000F3731">
        <w:rPr>
          <w:sz w:val="21"/>
          <w:szCs w:val="21"/>
        </w:rPr>
        <w:t>The strategy dynamically classifies Bitcoin into six distinct market phases using multi-dimensional technical indicators: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6"/>
        <w:gridCol w:w="4615"/>
        <w:gridCol w:w="4107"/>
      </w:tblGrid>
      <w:tr w:rsidR="00A01B52" w:rsidRPr="000F3731" w14:paraId="328C100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DD1B4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2B55D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8"/>
                <w:szCs w:val="18"/>
              </w:rPr>
              <w:t>Characteristics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49BDC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8"/>
                <w:szCs w:val="18"/>
              </w:rPr>
              <w:t>Position Approach</w:t>
            </w:r>
          </w:p>
        </w:tc>
      </w:tr>
      <w:tr w:rsidR="00A01B52" w:rsidRPr="000F3731" w14:paraId="41ADE79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0A75A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6"/>
                <w:szCs w:val="16"/>
              </w:rPr>
              <w:t>Accumulation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0FF5D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Low volatility (&lt;50%), narrow range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15A32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High metals weight (60%), moderate position</w:t>
            </w:r>
          </w:p>
        </w:tc>
      </w:tr>
      <w:tr w:rsidR="00A01B52" w:rsidRPr="000F3731" w14:paraId="3BAEBA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B3565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6"/>
                <w:szCs w:val="16"/>
              </w:rPr>
              <w:t>Early Bull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C48D9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20-100% 90-day gains, breaking above MAs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3688C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Balanced signals, increased position (70%)</w:t>
            </w:r>
          </w:p>
        </w:tc>
      </w:tr>
      <w:tr w:rsidR="00A01B52" w:rsidRPr="000F3731" w14:paraId="7FB8E1D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7FDE0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6"/>
                <w:szCs w:val="16"/>
              </w:rPr>
              <w:t>Explosive Bull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34B72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&gt;100% 90-day gains, vol &gt;80%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242CA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Ignore metals signal, momentum-only (40% cap)</w:t>
            </w:r>
          </w:p>
        </w:tc>
      </w:tr>
      <w:tr w:rsidR="00A01B52" w:rsidRPr="000F3731" w14:paraId="473369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D30F3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6"/>
                <w:szCs w:val="16"/>
              </w:rPr>
              <w:t>Distribution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BC280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High-level consolidation, slowing gains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19BD0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Defensive, reduced position (30%)</w:t>
            </w:r>
          </w:p>
        </w:tc>
      </w:tr>
      <w:tr w:rsidR="00A01B52" w:rsidRPr="000F3731" w14:paraId="09DC5F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BC103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6"/>
                <w:szCs w:val="16"/>
              </w:rPr>
              <w:t>Bear Market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443D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Sustained decline below MAs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EC22F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Minimal exposure (20%)</w:t>
            </w:r>
          </w:p>
        </w:tc>
      </w:tr>
      <w:tr w:rsidR="00A01B52" w:rsidRPr="000F3731" w14:paraId="629732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1A741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b/>
                <w:bCs/>
                <w:sz w:val="16"/>
                <w:szCs w:val="16"/>
              </w:rPr>
              <w:t>Capitulation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A6165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Extreme decline &gt;50%, panic selling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75868" w14:textId="77777777" w:rsidR="00A01B52" w:rsidRPr="000F3731" w:rsidRDefault="00A01769" w:rsidP="000F3731">
            <w:pPr>
              <w:spacing w:line="216" w:lineRule="auto"/>
              <w:rPr>
                <w:sz w:val="21"/>
                <w:szCs w:val="21"/>
              </w:rPr>
            </w:pPr>
            <w:r w:rsidRPr="000F3731">
              <w:rPr>
                <w:sz w:val="16"/>
                <w:szCs w:val="16"/>
              </w:rPr>
              <w:t>Contrarian accumulation (60%)</w:t>
            </w:r>
          </w:p>
        </w:tc>
      </w:tr>
    </w:tbl>
    <w:p w14:paraId="5D848B9B" w14:textId="77777777" w:rsidR="00A01B52" w:rsidRPr="000F3731" w:rsidRDefault="00A01769" w:rsidP="000F3731">
      <w:pPr>
        <w:spacing w:before="120" w:after="120"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Phase detection uses: 90-day returns, 30-day annualized volatility, price vs. MA(20/60/120), and drawdown from 120-day high. A 3-day confirmation filter prevents whipsawing between phases.</w:t>
      </w:r>
    </w:p>
    <w:p w14:paraId="40ECAECC" w14:textId="77777777" w:rsidR="00A01B52" w:rsidRPr="000F3731" w:rsidRDefault="00A01769" w:rsidP="000F3731">
      <w:pPr>
        <w:pStyle w:val="Heading2"/>
        <w:spacing w:line="216" w:lineRule="auto"/>
        <w:rPr>
          <w:sz w:val="24"/>
          <w:szCs w:val="24"/>
        </w:rPr>
      </w:pPr>
      <w:r w:rsidRPr="000F3731">
        <w:rPr>
          <w:sz w:val="24"/>
          <w:szCs w:val="24"/>
        </w:rPr>
        <w:t>Signal Generation</w:t>
      </w:r>
    </w:p>
    <w:p w14:paraId="52FA9AC1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b/>
          <w:bCs/>
          <w:sz w:val="18"/>
          <w:szCs w:val="18"/>
        </w:rPr>
        <w:t xml:space="preserve">Precious Metals Signal (-1 to +1): </w:t>
      </w:r>
      <w:r w:rsidRPr="000F3731">
        <w:rPr>
          <w:sz w:val="18"/>
          <w:szCs w:val="18"/>
        </w:rPr>
        <w:t>Combines 5-day and 20-day returns of Gold and Silver, normalized by typical move magnitudes.</w:t>
      </w:r>
    </w:p>
    <w:p w14:paraId="730FC55D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b/>
          <w:bCs/>
          <w:sz w:val="18"/>
          <w:szCs w:val="18"/>
        </w:rPr>
        <w:t xml:space="preserve">Momentum Signal (-1 to +1): </w:t>
      </w:r>
      <w:r w:rsidRPr="000F3731">
        <w:rPr>
          <w:sz w:val="18"/>
          <w:szCs w:val="18"/>
        </w:rPr>
        <w:t>Combines BTC 5-day return, 20-day return, and price relative to MA(20).</w:t>
      </w:r>
    </w:p>
    <w:p w14:paraId="3F13662A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after="120" w:line="216" w:lineRule="auto"/>
        <w:rPr>
          <w:sz w:val="21"/>
          <w:szCs w:val="21"/>
        </w:rPr>
      </w:pPr>
      <w:r w:rsidRPr="000F3731">
        <w:rPr>
          <w:b/>
          <w:bCs/>
          <w:sz w:val="18"/>
          <w:szCs w:val="18"/>
        </w:rPr>
        <w:t xml:space="preserve">Composite Signal: </w:t>
      </w:r>
      <w:r w:rsidRPr="000F3731">
        <w:rPr>
          <w:i/>
          <w:iCs/>
          <w:sz w:val="18"/>
          <w:szCs w:val="18"/>
        </w:rPr>
        <w:t>Signal = (Metals × Correlation_Factor × Phase_Metals_Weight) + (Momentum × Phase_Momentum_Weight)</w:t>
      </w:r>
    </w:p>
    <w:p w14:paraId="664329F4" w14:textId="77777777" w:rsidR="00A01B52" w:rsidRPr="000F3731" w:rsidRDefault="00A01769" w:rsidP="000F3731">
      <w:pPr>
        <w:pStyle w:val="Heading2"/>
        <w:spacing w:line="216" w:lineRule="auto"/>
        <w:rPr>
          <w:sz w:val="24"/>
          <w:szCs w:val="24"/>
        </w:rPr>
      </w:pPr>
      <w:r w:rsidRPr="000F3731">
        <w:rPr>
          <w:sz w:val="24"/>
          <w:szCs w:val="24"/>
        </w:rPr>
        <w:t>Position Sizing &amp; Risk Management</w:t>
      </w:r>
    </w:p>
    <w:p w14:paraId="39AD6788" w14:textId="77777777" w:rsidR="00A01B52" w:rsidRPr="000F3731" w:rsidRDefault="00A01769" w:rsidP="000F3731">
      <w:pPr>
        <w:spacing w:after="60"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Position sizing incorporates:</w:t>
      </w:r>
    </w:p>
    <w:p w14:paraId="4C69A9D7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Volatility adjustment: Position scaled by (Vol_Ceiling / Actual_Vol) when volatility exceeds phase threshold</w:t>
      </w:r>
    </w:p>
    <w:p w14:paraId="0CA58A5B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Breakout modifier: +30% for upside breakouts, -50% for downside breakouts</w:t>
      </w:r>
    </w:p>
    <w:p w14:paraId="45B97217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VIX filter: Reduced exposure during high VIX (&gt;25), contrarian during extreme VIX (&gt;35)</w:t>
      </w:r>
    </w:p>
    <w:p w14:paraId="765ABC8F" w14:textId="77777777" w:rsidR="00A01B52" w:rsidRPr="000F3731" w:rsidRDefault="00A01769" w:rsidP="000F3731">
      <w:pPr>
        <w:spacing w:before="100" w:after="60"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Risk controls:</w:t>
      </w:r>
    </w:p>
    <w:p w14:paraId="1200C2D9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Fixed Stop Loss: Exit at -15% from entry price</w:t>
      </w:r>
    </w:p>
    <w:p w14:paraId="423FACEA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Trailing Stop: Exit if price falls 10% from high after achieving +20% gain</w:t>
      </w:r>
    </w:p>
    <w:p w14:paraId="1FD95BAF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Precious Metals Warning: Position capped at 30% when metals signal &lt; -0.6</w:t>
      </w:r>
    </w:p>
    <w:p w14:paraId="709F17C5" w14:textId="77777777" w:rsidR="00A01B52" w:rsidRPr="000F3731" w:rsidRDefault="00A01769" w:rsidP="000F3731">
      <w:pPr>
        <w:pStyle w:val="ListParagraph"/>
        <w:numPr>
          <w:ilvl w:val="0"/>
          <w:numId w:val="2"/>
        </w:numPr>
        <w:spacing w:after="120"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Phase Limits: Explosive bull phase hard-capped at 40% regardless of signal strength</w:t>
      </w:r>
    </w:p>
    <w:p w14:paraId="225FE08C" w14:textId="77777777" w:rsidR="00A01B52" w:rsidRPr="000F3731" w:rsidRDefault="00A01769" w:rsidP="000F3731">
      <w:pPr>
        <w:pStyle w:val="Heading2"/>
        <w:spacing w:line="216" w:lineRule="auto"/>
        <w:rPr>
          <w:sz w:val="24"/>
          <w:szCs w:val="24"/>
        </w:rPr>
      </w:pPr>
      <w:r w:rsidRPr="000F3731">
        <w:rPr>
          <w:sz w:val="24"/>
          <w:szCs w:val="24"/>
        </w:rPr>
        <w:t>Rationale</w:t>
      </w:r>
    </w:p>
    <w:p w14:paraId="533617A0" w14:textId="77777777" w:rsidR="00A01B52" w:rsidRPr="000F3731" w:rsidRDefault="00A01769" w:rsidP="000F3731">
      <w:pPr>
        <w:spacing w:after="120" w:line="216" w:lineRule="auto"/>
        <w:rPr>
          <w:sz w:val="21"/>
          <w:szCs w:val="21"/>
        </w:rPr>
      </w:pPr>
      <w:r w:rsidRPr="000F3731">
        <w:rPr>
          <w:sz w:val="18"/>
          <w:szCs w:val="18"/>
        </w:rPr>
        <w:t>Historical analysis (2014-2024) reveals that Gold-BTC correlation is weak on average (~0.10) but exhibits regime-dependent behavior. During macro risk events (COVID crash, banking crises), correlation spikes to 0.40-0.50 and precious metals lead BTC by 1-2 days. During explosive bull markets (2017, 2020-21), correlation approaches zero as crypto-specific factors dominate. By adapting strategy parameters to detected market phase, we capture the predictive value of precious metals when it exists while avoiding false signals during crypto-driven rallies.</w:t>
      </w:r>
    </w:p>
    <w:p w14:paraId="507B61CC" w14:textId="5F944B1F" w:rsidR="00A01B52" w:rsidRPr="000F3731" w:rsidRDefault="00A01B52" w:rsidP="000F3731">
      <w:pPr>
        <w:spacing w:before="300" w:line="216" w:lineRule="auto"/>
        <w:jc w:val="center"/>
        <w:rPr>
          <w:sz w:val="21"/>
          <w:szCs w:val="21"/>
        </w:rPr>
      </w:pPr>
    </w:p>
    <w:sectPr w:rsidR="00A01B52" w:rsidRPr="000F3731" w:rsidSect="000F373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80525"/>
    <w:multiLevelType w:val="hybridMultilevel"/>
    <w:tmpl w:val="18F23AAC"/>
    <w:lvl w:ilvl="0" w:tplc="41329EAC">
      <w:start w:val="1"/>
      <w:numFmt w:val="bullet"/>
      <w:lvlText w:val="•"/>
      <w:lvlJc w:val="left"/>
      <w:pPr>
        <w:ind w:left="720" w:hanging="360"/>
      </w:pPr>
    </w:lvl>
    <w:lvl w:ilvl="1" w:tplc="973C7E78">
      <w:numFmt w:val="decimal"/>
      <w:lvlText w:val=""/>
      <w:lvlJc w:val="left"/>
    </w:lvl>
    <w:lvl w:ilvl="2" w:tplc="2C1C80A0">
      <w:numFmt w:val="decimal"/>
      <w:lvlText w:val=""/>
      <w:lvlJc w:val="left"/>
    </w:lvl>
    <w:lvl w:ilvl="3" w:tplc="11D8E0A0">
      <w:numFmt w:val="decimal"/>
      <w:lvlText w:val=""/>
      <w:lvlJc w:val="left"/>
    </w:lvl>
    <w:lvl w:ilvl="4" w:tplc="F7FE8D28">
      <w:numFmt w:val="decimal"/>
      <w:lvlText w:val=""/>
      <w:lvlJc w:val="left"/>
    </w:lvl>
    <w:lvl w:ilvl="5" w:tplc="D146E2C4">
      <w:numFmt w:val="decimal"/>
      <w:lvlText w:val=""/>
      <w:lvlJc w:val="left"/>
    </w:lvl>
    <w:lvl w:ilvl="6" w:tplc="11648916">
      <w:numFmt w:val="decimal"/>
      <w:lvlText w:val=""/>
      <w:lvlJc w:val="left"/>
    </w:lvl>
    <w:lvl w:ilvl="7" w:tplc="980230A2">
      <w:numFmt w:val="decimal"/>
      <w:lvlText w:val=""/>
      <w:lvlJc w:val="left"/>
    </w:lvl>
    <w:lvl w:ilvl="8" w:tplc="FC9EE0CE">
      <w:numFmt w:val="decimal"/>
      <w:lvlText w:val=""/>
      <w:lvlJc w:val="left"/>
    </w:lvl>
  </w:abstractNum>
  <w:abstractNum w:abstractNumId="1" w15:restartNumberingAfterBreak="0">
    <w:nsid w:val="41837366"/>
    <w:multiLevelType w:val="hybridMultilevel"/>
    <w:tmpl w:val="D714CD14"/>
    <w:lvl w:ilvl="0" w:tplc="35C4E9CA">
      <w:start w:val="1"/>
      <w:numFmt w:val="bullet"/>
      <w:lvlText w:val="●"/>
      <w:lvlJc w:val="left"/>
      <w:pPr>
        <w:ind w:left="720" w:hanging="360"/>
      </w:pPr>
    </w:lvl>
    <w:lvl w:ilvl="1" w:tplc="7C84464A">
      <w:start w:val="1"/>
      <w:numFmt w:val="bullet"/>
      <w:lvlText w:val="○"/>
      <w:lvlJc w:val="left"/>
      <w:pPr>
        <w:ind w:left="1440" w:hanging="360"/>
      </w:pPr>
    </w:lvl>
    <w:lvl w:ilvl="2" w:tplc="0A40B4D6">
      <w:start w:val="1"/>
      <w:numFmt w:val="bullet"/>
      <w:lvlText w:val="■"/>
      <w:lvlJc w:val="left"/>
      <w:pPr>
        <w:ind w:left="2160" w:hanging="360"/>
      </w:pPr>
    </w:lvl>
    <w:lvl w:ilvl="3" w:tplc="09EAC534">
      <w:start w:val="1"/>
      <w:numFmt w:val="bullet"/>
      <w:lvlText w:val="●"/>
      <w:lvlJc w:val="left"/>
      <w:pPr>
        <w:ind w:left="2880" w:hanging="360"/>
      </w:pPr>
    </w:lvl>
    <w:lvl w:ilvl="4" w:tplc="049894B0">
      <w:start w:val="1"/>
      <w:numFmt w:val="bullet"/>
      <w:lvlText w:val="○"/>
      <w:lvlJc w:val="left"/>
      <w:pPr>
        <w:ind w:left="3600" w:hanging="360"/>
      </w:pPr>
    </w:lvl>
    <w:lvl w:ilvl="5" w:tplc="98B4D0C4">
      <w:start w:val="1"/>
      <w:numFmt w:val="bullet"/>
      <w:lvlText w:val="■"/>
      <w:lvlJc w:val="left"/>
      <w:pPr>
        <w:ind w:left="4320" w:hanging="360"/>
      </w:pPr>
    </w:lvl>
    <w:lvl w:ilvl="6" w:tplc="9874389E">
      <w:start w:val="1"/>
      <w:numFmt w:val="bullet"/>
      <w:lvlText w:val="●"/>
      <w:lvlJc w:val="left"/>
      <w:pPr>
        <w:ind w:left="5040" w:hanging="360"/>
      </w:pPr>
    </w:lvl>
    <w:lvl w:ilvl="7" w:tplc="8D92B740">
      <w:start w:val="1"/>
      <w:numFmt w:val="bullet"/>
      <w:lvlText w:val="●"/>
      <w:lvlJc w:val="left"/>
      <w:pPr>
        <w:ind w:left="5760" w:hanging="360"/>
      </w:pPr>
    </w:lvl>
    <w:lvl w:ilvl="8" w:tplc="CBB8026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B52"/>
    <w:rsid w:val="000F3731"/>
    <w:rsid w:val="00353C61"/>
    <w:rsid w:val="00A01769"/>
    <w:rsid w:val="00A0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7A772"/>
  <w15:docId w15:val="{4901FA91-E848-D24E-BDE5-C94F282A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Dequn Teng</cp:lastModifiedBy>
  <cp:revision>2</cp:revision>
  <dcterms:created xsi:type="dcterms:W3CDTF">2026-02-13T07:27:00Z</dcterms:created>
  <dcterms:modified xsi:type="dcterms:W3CDTF">2026-02-13T07:27:00Z</dcterms:modified>
</cp:coreProperties>
</file>