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0009 – Republicar Mensajes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Cristian Albornoz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0009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mensajes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Republicar mensajes públicos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Cristian Albornoz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aplicación el usuario república un mensaje escrito previamente por otro usuario y este mensaje se visualizará en el perfil del usuario que hizo la republicación.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el usuario que utiliza la aplicación y desea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republicar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los mensajes públicos que otro usuario publicó.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iniciado sesión en la plataforma.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al menos a un usuario seguido.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 la sección de mensajes públicos.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una lista (feed) de mensajes públicos.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selecciona un mensaje de lista.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opciones para que el usuario indique que desea hacer con él.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selecciona la opción republicar.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mensaje publicado en la sección de mensajes públicos del mismo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F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Alternativos/ Extenciones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Republicar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desde el muro de otro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en vez de sacar el mensaje público del feed lo hará desde el perfil el cual desea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republicar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su mensaje.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C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C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3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 de Software-Sprint1-CU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 0009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6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Republicar mensajes públicos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C593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C5938"/>
  </w:style>
  <w:style w:type="paragraph" w:styleId="Piedepgina">
    <w:name w:val="footer"/>
    <w:basedOn w:val="Normal"/>
    <w:link w:val="PiedepginaCar"/>
    <w:uiPriority w:val="99"/>
    <w:unhideWhenUsed w:val="1"/>
    <w:rsid w:val="008C593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C593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KKWUpnqdaHGeWjQcRlL7VHTjQ==">CgMxLjAyCGguZ2pkZ3hzMgloLjMwajB6bGw4AHIhMTNNLTBUN3BETzNoWnA1aEI2U01iUzkzLVRPMWxZdW4y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</cp:coreProperties>
</file>