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1     1–7 September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Tue 1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Set the question for the agent simulation and fix the crop and market scope.</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The crops are carrot, leeks, and tomato. The markets are Colombo, Meegoda, Nuwara Eliya, and Dambulla. The baseline does not need an MSRS score.</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Thu 3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List the inputs the simulation can use.</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Quantity sold, yield, and cost are not in the warehouse, so they are not invented. Supply stays in hectares.</w:t>
            </w:r>
          </w:p>
        </w:tc>
      </w:tr>
    </w:tbl>
    <w:p>
      <w:r>
        <w:br w:type="page"/>
      </w:r>
    </w:p>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2     8–14 September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Wed 9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Review the earlier agent model.</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That model used invented base prices and areas, redrew adoption every season, and split the national area into five equal districts.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Fri 11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Decide what the new simulation will not repeat.</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The new simulation is a separate package. It does not load the earlier model.</w:t>
            </w:r>
          </w:p>
        </w:tc>
      </w:tr>
    </w:tbl>
    <w:p>
      <w:r>
        <w:br w:type="page"/>
      </w:r>
    </w:p>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3     15–21 September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Tue 15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Build the separate-crop baseline.</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Planting follows last season’s price, and the market then clears.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Thu 17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Set the crash rule and check two slope ratios.</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A crash is a season at least 25% below the previous season. Slope ratio 0.5 damps toward the reference price. Slope ratio 1.5 grows until the price hits zero.</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Mon 21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Set the reference prices.</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The reference prices are the Colombo wholesale medians: carrot 149.09, leeks 125.83, and tomato 120.00 Rs/kg. Tomato area is marked as an assumption.</w:t>
            </w:r>
          </w:p>
        </w:tc>
      </w:tr>
    </w:tbl>
    <w:p>
      <w:r>
        <w:br w:type="page"/>
      </w:r>
    </w:p>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4     22–28 September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Wed 23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Compare the baseline with Colombo wholesale HARTI season prices from the local warehouse.</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Each crop has 18 seasons, 16 consecutive pairs, and a crash rate of 0.38. The season-to-season lag is positive.</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Fri 25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Choose the closest one-step rule and the slope ratio.</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A flat price is closest for carrot and leeks. Last season’s price is closest for tomato. The best slope ratio on the grid is 0.05. The ratio was not raised to force a cobweb.</w:t>
            </w:r>
          </w:p>
        </w:tc>
      </w:tr>
    </w:tbl>
    <w:p>
      <w:r>
        <w:br w:type="page"/>
      </w:r>
    </w:p>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5     29 September–5 October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Tue 29 Sep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Replace identical farmers with district farmers who share land.</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Fair shares are the checked district targets. The Nuwara Eliya carrot target is 1,224 ha. National targets are carrot 2,001 ha and leeks 1,333 ha.</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Thu 1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Leave tomato out and fix the adopter set for the whole run.</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Tomato has no checked district table. The same seed keeps the same adopters.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Mon 5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Check planting at the reference prices.</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Planting reproduces the district targets.</w:t>
            </w:r>
          </w:p>
        </w:tc>
      </w:tr>
    </w:tbl>
    <w:p>
      <w:r>
        <w:br w:type="page"/>
      </w:r>
    </w:p>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6     6–12 October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Wed 7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Score saturation with Member 3’s pressure function.</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Capacity is the checked district target. Member 3’s demo capacities are not used. The score is 0 at 80% of the target, 0.5 at the target, and 1 at 120%.</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Fri 9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Check whether adopters change the crop mix at the reference prices.</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Both crops score 0.5 at the targets, so the mix does not shift until a price moves planting away from the target.</w:t>
            </w:r>
          </w:p>
        </w:tc>
      </w:tr>
    </w:tbl>
    <w:p>
      <w:r>
        <w:br w:type="page"/>
      </w:r>
    </w:p>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7     13–19 October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Tue 13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Add a persistent season price and a shock, fitted to Colombo wholesale.</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Persistence and the shock scale are fitted to those seasons. The check uses slope ratio 0.05.</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Thu 15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Run the no-advisory path.</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Forty runs give crash rates of 0.33 for carrot and 0.30 for leeks and tomato, against the HARTI rate of 0.38.</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Mon 19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Compare the simulated lag with the HARTI lag.</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The simulated lag stays positive and is lower than the HARTI lag.</w:t>
            </w:r>
          </w:p>
        </w:tc>
      </w:tr>
    </w:tbl>
    <w:p>
      <w:r>
        <w:br w:type="page"/>
      </w:r>
    </w:p>
    <w:p>
      <w:pPr>
        <w:spacing w:before="0" w:after="40" w:line="240" w:lineRule="auto"/>
        <w:rPr>
          <w:sz w:val="36"/>
          <w:szCs w:val="36"/>
          <w:rFonts w:ascii="Calibri" w:hAnsi="Calibri"/>
          <w:b/>
          <w:color w:val="1F4E79"/>
        </w:rPr>
      </w:pPr>
      <w:r>
        <w:rPr>
          <w:sz w:val="36"/>
          <w:szCs w:val="36"/>
          <w:rFonts w:ascii="Calibri" w:hAnsi="Calibri"/>
          <w:b/>
          <w:color w:val="1F4E79"/>
        </w:rPr>
        <w:t xml:space="preserve">Research logbook</w:t>
      </w:r>
    </w:p>
    <w:p>
      <w:pPr>
        <w:spacing w:before="0" w:after="60" w:line="240" w:lineRule="auto"/>
        <w:rPr>
          <w:sz w:val="24"/>
          <w:szCs w:val="24"/>
          <w:rFonts w:ascii="Calibri" w:hAnsi="Calibri"/>
          <w:b/>
        </w:rPr>
      </w:pPr>
      <w:r>
        <w:rPr>
          <w:sz w:val="24"/>
          <w:szCs w:val="24"/>
          <w:rFonts w:ascii="Calibri" w:hAnsi="Calibri"/>
          <w:b/>
        </w:rPr>
        <w:t xml:space="preserve">Sub-component: Agentic Simulation (Member 4)</w:t>
      </w:r>
    </w:p>
    <w:p>
      <w:pPr>
        <w:spacing w:before="0" w:after="20" w:line="240" w:lineRule="auto"/>
        <w:rPr>
          <w:sz w:val="21"/>
          <w:szCs w:val="21"/>
          <w:rFonts w:ascii="Calibri" w:hAnsi="Calibri"/>
        </w:rPr>
      </w:pPr>
      <w:r>
        <w:rPr>
          <w:sz w:val="21"/>
          <w:szCs w:val="21"/>
          <w:rFonts w:ascii="Calibri" w:hAnsi="Calibri"/>
        </w:rPr>
        <w:t xml:space="preserve">Student: L.T.B. Wickramaarachchi          Registration No.: IT23160248</w:t>
      </w:r>
    </w:p>
    <w:p>
      <w:pPr>
        <w:spacing w:before="0" w:after="140" w:line="240" w:lineRule="auto"/>
        <w:rPr>
          <w:sz w:val="21"/>
          <w:szCs w:val="21"/>
          <w:rFonts w:ascii="Calibri" w:hAnsi="Calibri"/>
        </w:rPr>
      </w:pPr>
      <w:r>
        <w:rPr>
          <w:sz w:val="21"/>
          <w:szCs w:val="21"/>
          <w:rFonts w:ascii="Calibri" w:hAnsi="Calibri"/>
        </w:rPr>
        <w:t xml:space="preserve">Project: IT4010, J26-DS-322          Period: 1 September 2026 – 21 October 2026</w:t>
      </w:r>
    </w:p>
    <w:p>
      <w:pPr>
        <w:spacing w:before="0" w:after="40" w:line="240" w:lineRule="auto"/>
        <w:rPr>
          <w:sz w:val="24"/>
          <w:szCs w:val="24"/>
          <w:rFonts w:ascii="Calibri" w:hAnsi="Calibri"/>
          <w:b/>
        </w:rPr>
      </w:pPr>
      <w:r>
        <w:rPr>
          <w:sz w:val="24"/>
          <w:szCs w:val="24"/>
          <w:rFonts w:ascii="Calibri" w:hAnsi="Calibri"/>
          <w:b/>
        </w:rPr>
        <w:t xml:space="preserve">Week 8     20–21 October 2026</w:t>
      </w:r>
    </w:p>
    <w:p>
      <w:pPr>
        <w:spacing w:before="0" w:after="140" w:line="240" w:lineRule="auto"/>
        <w:rPr>
          <w:sz w:val="20"/>
          <w:szCs w:val="20"/>
          <w:rFonts w:ascii="Calibri" w:hAnsi="Calibri"/>
          <w:i/>
          <w:color w:val="595959"/>
        </w:rPr>
      </w:pPr>
      <w:r>
        <w:rPr>
          <w:sz w:val="20"/>
          <w:szCs w:val="20"/>
          <w:rFonts w:ascii="Calibri" w:hAnsi="Calibri"/>
          <w:i/>
          <w:color w:val="595959"/>
        </w:rPr>
        <w:t xml:space="preserve">Only the dates below were worked.</w:t>
      </w:r>
    </w:p>
    <w:tbl>
      <w:tblPr>
        <w:tblW w:w="10204" w:type="dxa"/>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3800"/>
        <w:gridCol w:w="4004"/>
      </w:tblGrid>
      <w:tr>
        <w:tc>
          <w:tcPr>
            <w:tcW w:w="24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Date</w:t>
            </w:r>
          </w:p>
        </w:tc>
        <w:tc>
          <w:tcPr>
            <w:tcW w:w="3800"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Tasks</w:t>
            </w:r>
          </w:p>
        </w:tc>
        <w:tc>
          <w:tcPr>
            <w:tcW w:w="4004" w:type="dxa"/>
            <w:shd w:val="clear" w:color="auto" w:fill="1F4E79"/>
            <w:tcMar>
              <w:top w:w="80" w:type="dxa"/>
              <w:left w:w="100" w:type="dxa"/>
              <w:bottom w:w="80" w:type="dxa"/>
              <w:right w:w="100" w:type="dxa"/>
            </w:tcMar>
            <w:vAlign w:val="top"/>
          </w:tcPr>
          <w:p>
            <w:pPr>
              <w:spacing w:before="0" w:after="0" w:line="240" w:lineRule="auto"/>
              <w:rPr>
                <w:sz w:val="21"/>
                <w:szCs w:val="21"/>
                <w:rFonts w:ascii="Calibri" w:hAnsi="Calibri"/>
                <w:b/>
                <w:color w:val="FFFFFF"/>
              </w:rPr>
            </w:pPr>
            <w:r>
              <w:rPr>
                <w:sz w:val="21"/>
                <w:szCs w:val="21"/>
                <w:rFonts w:ascii="Calibri" w:hAnsi="Calibri"/>
                <w:b/>
                <w:color w:val="FFFFFF"/>
              </w:rPr>
              <w:t xml:space="preserve">Outcomes</w:t>
            </w:r>
          </w:p>
        </w:tc>
      </w:tr>
      <w:tr>
        <w:tc>
          <w:tcPr>
            <w:tcW w:w="2400" w:type="dxa"/>
            <w:tcMar>
              <w:top w:w="80" w:type="dxa"/>
              <w:left w:w="100" w:type="dxa"/>
              <w:bottom w:w="80" w:type="dxa"/>
              <w:right w:w="100" w:type="dxa"/>
            </w:tcMar>
            <w:vAlign w:val="top"/>
          </w:tcPr>
          <w:p>
            <w:pPr>
              <w:spacing w:before="0" w:after="0" w:line="240" w:lineRule="auto"/>
              <w:rPr>
                <w:sz w:val="21"/>
                <w:szCs w:val="21"/>
                <w:rFonts w:ascii="Calibri" w:hAnsi="Calibri"/>
                <w:b/>
              </w:rPr>
            </w:pPr>
            <w:r>
              <w:rPr>
                <w:sz w:val="21"/>
                <w:szCs w:val="21"/>
                <w:rFonts w:ascii="Calibri" w:hAnsi="Calibri"/>
                <w:b/>
              </w:rPr>
              <w:t xml:space="preserve">Wed 21 Oct 2026</w:t>
            </w:r>
          </w:p>
        </w:tc>
        <w:tc>
          <w:tcPr>
            <w:tcW w:w="3800"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Compare adoption rates on this price path, and write the simulation guide and dashboard.</w:t>
            </w:r>
          </w:p>
        </w:tc>
        <w:tc>
          <w:tcPr>
            <w:tcW w:w="4004" w:type="dxa"/>
            <w:tcMar>
              <w:top w:w="80" w:type="dxa"/>
              <w:left w:w="100" w:type="dxa"/>
              <w:bottom w:w="80" w:type="dxa"/>
              <w:right w:w="100" w:type="dxa"/>
            </w:tcMar>
            <w:vAlign w:val="top"/>
          </w:tcPr>
          <w:p>
            <w:pPr>
              <w:spacing w:before="0" w:after="0" w:line="240" w:lineRule="auto"/>
              <w:rPr>
                <w:sz w:val="21"/>
                <w:szCs w:val="21"/>
                <w:rFonts w:ascii="Calibri" w:hAnsi="Calibri"/>
              </w:rPr>
            </w:pPr>
            <w:r>
              <w:rPr>
                <w:sz w:val="21"/>
                <w:szCs w:val="21"/>
                <w:rFonts w:ascii="Calibri" w:hAnsi="Calibri"/>
              </w:rPr>
              <w:t xml:space="preserve">With no shock, every adoption rate has a crash rate of 0.00. That is not evidence about the historical crashes. A 20% carrot price shock leaves season 0 the same for every adoption rate and lowers season-1 carrot area as adoption rises. The guide is simulation/README.md. The dashboard is simulation/dashboard.py.</w:t>
            </w:r>
          </w:p>
        </w:tc>
      </w:tr>
    </w:tbl>
    <w:sectPr>
      <w:footerReference w:type="default" r:id="rIdFooter"/>
      <w:pgSz w:w="11906" w:h="16838"/>
      <w:pgMar w:top="851" w:right="851" w:bottom="1870" w:left="851" w:header="284" w:footer="284"/>
    </w:sectPr>
  </w:body>
</w:document>
</file>

<file path=word/footer1.xml><?xml version="1.0" encoding="utf-8"?>
<w:ftr xmlns:w="http://schemas.openxmlformats.org/wordprocessingml/2006/main">
  <w:p>
    <w:pPr>
      <w:pBdr>
        <w:top w:val="single" w:sz="12" w:space="8" w:color="1F4E79"/>
      </w:pBdr>
      <w:spacing w:before="60" w:after="80"/>
    </w:pPr>
  </w:p>
  <w:tbl>
    <w:tblPr>
      <w:tblW w:w="10204" w:type="dxa"/>
      <w:tblLayout w:type="fixed"/>
      <w:tblBorders>
        <w:top w:val="nil"/>
        <w:left w:val="nil"/>
        <w:bottom w:val="nil"/>
        <w:right w:val="nil"/>
        <w:insideH w:val="nil"/>
        <w:insideV w:val="nil"/>
      </w:tblBorders>
    </w:tblPr>
    <w:tblGrid>
      <w:gridCol w:w="4652"/>
      <w:gridCol w:w="900"/>
      <w:gridCol w:w="4652"/>
    </w:tblGrid>
    <w:tr>
      <w:tc>
        <w:tcPr>
          <w:tcW w:w="4652" w:type="dxa"/>
          <w:vAlign w:val="bottom"/>
        </w:tcPr>
        <w:p>
          <w:pPr>
            <w:spacing w:before="0" w:after="0" w:line="280" w:lineRule="auto"/>
          </w:pPr>
          <w:r>
            <w:t xml:space="preserve"> </w:t>
          </w:r>
        </w:p>
        <w:p>
          <w:pPr>
            <w:spacing w:before="0" w:after="0" w:line="280" w:lineRule="auto"/>
          </w:pPr>
          <w:r>
            <w:t xml:space="preserve"> </w:t>
          </w:r>
        </w:p>
        <w:p>
          <w:pPr>
            <w:spacing w:before="160" w:after="0"/>
            <w:pBdr>
              <w:bottom w:val="single" w:sz="8" w:space="1" w:color="000000"/>
            </w:pBdr>
          </w:pPr>
          <w:r>
            <w:t xml:space="preserve"> </w:t>
          </w:r>
        </w:p>
        <w:p>
          <w:pPr>
            <w:spacing w:before="60" w:after="0" w:line="240" w:lineRule="auto"/>
            <w:rPr>
              <w:sz w:val="18"/>
              <w:szCs w:val="18"/>
              <w:rFonts w:ascii="Calibri" w:hAnsi="Calibri"/>
            </w:rPr>
          </w:pPr>
          <w:r>
            <w:rPr>
              <w:sz w:val="18"/>
              <w:szCs w:val="18"/>
              <w:rFonts w:ascii="Calibri" w:hAnsi="Calibri"/>
            </w:rPr>
            <w:t xml:space="preserve">Supervisor signature</w:t>
          </w:r>
        </w:p>
      </w:tc>
      <w:tc>
        <w:tcPr>
          <w:tcW w:w="900" w:type="dxa"/>
        </w:tcPr>
        <w:p/>
      </w:tc>
      <w:tc>
        <w:tcPr>
          <w:tcW w:w="4652" w:type="dxa"/>
          <w:vAlign w:val="bottom"/>
        </w:tcPr>
        <w:p>
          <w:pPr>
            <w:spacing w:before="0" w:after="0" w:line="280" w:lineRule="auto"/>
          </w:pPr>
          <w:r>
            <w:t xml:space="preserve"> </w:t>
          </w:r>
        </w:p>
        <w:p>
          <w:pPr>
            <w:spacing w:before="0" w:after="0" w:line="280" w:lineRule="auto"/>
          </w:pPr>
          <w:r>
            <w:t xml:space="preserve"> </w:t>
          </w:r>
        </w:p>
        <w:p>
          <w:pPr>
            <w:spacing w:before="160" w:after="0"/>
            <w:pBdr>
              <w:bottom w:val="single" w:sz="8" w:space="1" w:color="000000"/>
            </w:pBdr>
          </w:pPr>
          <w:r>
            <w:t xml:space="preserve"> </w:t>
          </w:r>
        </w:p>
        <w:p>
          <w:pPr>
            <w:spacing w:before="60" w:after="0" w:line="240" w:lineRule="auto"/>
            <w:rPr>
              <w:sz w:val="18"/>
              <w:szCs w:val="18"/>
              <w:rFonts w:ascii="Calibri" w:hAnsi="Calibri"/>
            </w:rPr>
          </w:pPr>
          <w:r>
            <w:rPr>
              <w:sz w:val="18"/>
              <w:szCs w:val="18"/>
              <w:rFonts w:ascii="Calibri" w:hAnsi="Calibri"/>
            </w:rPr>
            <w:t xml:space="preserve">Date</w:t>
          </w:r>
        </w:p>
      </w:tc>
    </w:tr>
  </w:tbl>
</w:ftr>
</file>

<file path=word/_rels/document.xml.rels><?xml version="1.0" encoding="UTF-8" standalone="yes"?>
<Relationships xmlns="http://schemas.openxmlformats.org/package/2006/relationships">
<Relationship Id="rIdFooter" Type="http://schemas.openxmlformats.org/officeDocument/2006/relationships/footer" Target="footer1.xml"/>
</Relationships>
</file>

<file path=docProps/app.xml><?xml version="1.0" encoding="utf-8"?>
<Properties xmlns="http://schemas.openxmlformats.org/officeDocument/2006/extended-properties">
  <Pages>8</Pages>
</Properties>
</file>

<file path=docProps/core.xml><?xml version="1.0" encoding="utf-8"?>
<cp:coreProperties xmlns:cp="http://schemas.openxmlformats.org/package/2006/metadata/core-properties" xmlns:dc="http://purl.org/dc/elements/1.1/">
  <dc:title>Research logbook — Agentic Simulation</dc:title>
  <dc:creator>L.T.B. Wickramaarachchi</dc:creator>
  <dc:description>Member 4 weekly logbook, 1 September 2026 to 21 October 2026. Worked dates only.</dc:description>
</cp:coreProperties>
</file>