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E3C" w14:textId="008926D6" w:rsidR="00F10715" w:rsidRPr="00F10715" w:rsidRDefault="00F10715" w:rsidP="001433F3">
      <w:pPr>
        <w:spacing w:after="0" w:line="240" w:lineRule="auto"/>
        <w:rPr>
          <w:rFonts w:ascii="Georgia" w:eastAsia="Times New Roman" w:hAnsi="Georgia" w:cs="Times New Roman"/>
          <w:color w:val="222222"/>
          <w:kern w:val="0"/>
          <w:sz w:val="22"/>
          <w:szCs w:val="22"/>
          <w14:ligatures w14:val="none"/>
        </w:rPr>
      </w:pPr>
      <w:r w:rsidRPr="00F10715">
        <w:rPr>
          <w:rFonts w:ascii="Georgia" w:hAnsi="Georgia"/>
          <w:color w:val="222222"/>
          <w:sz w:val="22"/>
          <w:szCs w:val="22"/>
          <w:shd w:val="clear" w:color="auto" w:fill="FFFFFF"/>
        </w:rPr>
        <w:t>Today I received the species dispersal distances calculated by María Isabel Arce. She shared the following information for the species listed in the attached table:</w:t>
      </w:r>
    </w:p>
    <w:p w14:paraId="54EAE02A" w14:textId="77777777" w:rsidR="00F10715" w:rsidRPr="00F10715" w:rsidRDefault="00F10715" w:rsidP="001433F3">
      <w:pPr>
        <w:spacing w:after="0" w:line="240" w:lineRule="auto"/>
        <w:rPr>
          <w:rFonts w:ascii="Georgia" w:eastAsia="Times New Roman" w:hAnsi="Georgia" w:cs="Times New Roman"/>
          <w:color w:val="222222"/>
          <w:kern w:val="0"/>
          <w:sz w:val="22"/>
          <w:szCs w:val="22"/>
          <w14:ligatures w14:val="none"/>
        </w:rPr>
      </w:pPr>
    </w:p>
    <w:p w14:paraId="6C00FA8B" w14:textId="6CAA1B6C" w:rsidR="001433F3" w:rsidRPr="001433F3" w:rsidRDefault="001433F3" w:rsidP="001433F3">
      <w:pPr>
        <w:spacing w:after="0" w:line="240" w:lineRule="auto"/>
        <w:rPr>
          <w:rFonts w:ascii="Georgia" w:eastAsia="Times New Roman" w:hAnsi="Georgia" w:cs="Times New Roman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Times New Roman"/>
          <w:color w:val="222222"/>
          <w:kern w:val="0"/>
          <w:sz w:val="22"/>
          <w:szCs w:val="22"/>
          <w14:ligatures w14:val="none"/>
        </w:rPr>
        <w:t>"</w:t>
      </w: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To define the search radius for each species we used proxies of dispersion distances for mammals, birds and plants. For mammals, we used data from Diaz-Corzo et al. (Tesis Camila), which estimated three groups of dispersal distances categorized by weight, as the radius of a circle with an area equal to the mean home range. For birds, we used the hand-wing index available in the AVONET database (Tobias et al., 2022) to estimate the dispersion distance following Ocampo-Peñuela et al., (2023). For plants, we used a combination of the dominant dispersal syndrome cited in the literature and the diaspore mass, available from the D3 dispersal and diaspore database (Hintze et al., 2013).</w:t>
      </w:r>
    </w:p>
    <w:p w14:paraId="7C988580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500050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br/>
        <w:t>We defined dispersal ranges for plants based on distances of 300m, 1 and 3 km (Table 1).  We categorized three diaspore masses as: 1) small (≤ 0.5 mg), 2) medium (&gt; 0.5 mg to 6 mg), or 3) large (&gt; 6 mg). Since these values were not available at the species level, we assigned mean values at the family level. These size classes were paired with four dispersal mechanisms: 1) wind (Anemochory), 2) water (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Hydrocory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), 3) animals (Zoochory), and 4) other less frequently found methods. We assumed that small, wind-dispersed seeds travel the farthest, followed by animal-dispersed seeds, and large seeded (Dalling et al., 2002; Midgley et al., 2006; Muller-Landau &amp; Hardesty, 2005).</w:t>
      </w: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br/>
      </w: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br/>
        <w:t>Table 1. Dispersion ranges for the combination between seed mass group and dispersion type.</w:t>
      </w:r>
      <w:r w:rsidRPr="001433F3">
        <w:rPr>
          <w:rFonts w:ascii="Georgia" w:eastAsia="Times New Roman" w:hAnsi="Georgia" w:cs="Arial"/>
          <w:color w:val="500050"/>
          <w:kern w:val="0"/>
          <w:sz w:val="22"/>
          <w:szCs w:val="22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929"/>
        <w:gridCol w:w="1227"/>
        <w:gridCol w:w="929"/>
      </w:tblGrid>
      <w:tr w:rsidR="001433F3" w:rsidRPr="001433F3" w14:paraId="65550F1A" w14:textId="77777777" w:rsidTr="001433F3">
        <w:trPr>
          <w:trHeight w:val="645"/>
          <w:tblHeader/>
        </w:trPr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2468BFF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Diaspore mass\ </w:t>
            </w:r>
          </w:p>
          <w:p w14:paraId="677558ED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Dispersion type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BE16B25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Small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1D83C44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F8CBDAA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Large</w:t>
            </w:r>
          </w:p>
        </w:tc>
      </w:tr>
      <w:tr w:rsidR="001433F3" w:rsidRPr="001433F3" w14:paraId="7A359868" w14:textId="77777777" w:rsidTr="001433F3">
        <w:trPr>
          <w:trHeight w:val="645"/>
        </w:trPr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B314B50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Anemochory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D2300FE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3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2EA14AC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1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927E2D4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300 m</w:t>
            </w:r>
          </w:p>
        </w:tc>
      </w:tr>
      <w:tr w:rsidR="001433F3" w:rsidRPr="001433F3" w14:paraId="314E7B5B" w14:textId="77777777" w:rsidTr="001433F3">
        <w:trPr>
          <w:trHeight w:val="645"/>
        </w:trPr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524D33A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Hydrochory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0C8453E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3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E152807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1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CAD597A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300 m</w:t>
            </w:r>
          </w:p>
        </w:tc>
      </w:tr>
      <w:tr w:rsidR="001433F3" w:rsidRPr="001433F3" w14:paraId="5FBF04CC" w14:textId="77777777" w:rsidTr="001433F3">
        <w:trPr>
          <w:trHeight w:val="645"/>
        </w:trPr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ADF2A53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Zoochory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E678AF1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1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54A22C1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1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82432D6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300 m</w:t>
            </w:r>
          </w:p>
        </w:tc>
      </w:tr>
      <w:tr w:rsidR="001433F3" w:rsidRPr="001433F3" w14:paraId="7BE7D0E6" w14:textId="77777777" w:rsidTr="001433F3">
        <w:trPr>
          <w:trHeight w:val="159"/>
        </w:trPr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E27E3C5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B59D85B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1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0CDE217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1 km</w:t>
            </w:r>
          </w:p>
        </w:tc>
        <w:tc>
          <w:tcPr>
            <w:tcW w:w="0" w:type="auto"/>
            <w:tcBorders>
              <w:top w:val="single" w:sz="6" w:space="0" w:color="DFDDD0"/>
              <w:left w:val="single" w:sz="6" w:space="0" w:color="DFDDD0"/>
              <w:bottom w:val="single" w:sz="6" w:space="0" w:color="DFDDD0"/>
              <w:right w:val="single" w:sz="6" w:space="0" w:color="DFDDD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5676DB0" w14:textId="77777777" w:rsidR="001433F3" w:rsidRPr="001433F3" w:rsidRDefault="001433F3" w:rsidP="001433F3">
            <w:pPr>
              <w:spacing w:after="0" w:line="240" w:lineRule="auto"/>
              <w:jc w:val="both"/>
              <w:rPr>
                <w:rFonts w:ascii="Georgia" w:eastAsia="Times New Roman" w:hAnsi="Georgia" w:cs="Times New Roman"/>
                <w:kern w:val="0"/>
                <w:sz w:val="22"/>
                <w:szCs w:val="22"/>
                <w14:ligatures w14:val="none"/>
              </w:rPr>
            </w:pPr>
            <w:r w:rsidRPr="001433F3">
              <w:rPr>
                <w:rFonts w:ascii="Georgia" w:eastAsia="Times New Roman" w:hAnsi="Georgia" w:cs="Arial"/>
                <w:color w:val="000000"/>
                <w:kern w:val="0"/>
                <w:sz w:val="22"/>
                <w:szCs w:val="22"/>
                <w14:ligatures w14:val="none"/>
              </w:rPr>
              <w:t>300 m</w:t>
            </w:r>
          </w:p>
        </w:tc>
      </w:tr>
    </w:tbl>
    <w:p w14:paraId="07461134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</w:p>
    <w:p w14:paraId="260E9EEE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Tobias, J. A., Sheard, C., Pigot, A. L., Devenish, A. J. M., Yang, J.,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Sayol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, F., Neate-Clegg, M. H. C.,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Alioravainen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, N., Weeks, T. L., Barber, R. A., Walkden, P. A., MacGregor, H. E. A., Jones, S. E. I., Vincent, C., Phillips, A. G., Marples, N. M., Montaño-Centellas, F. A., Leandro-Silva, V.,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Claramunt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, S., … Schleuning, M. (2022). AVONET: morphological, ecological and geographical data for all birds. Ecology Letters, 25(3), 581–597. </w:t>
      </w:r>
      <w:hyperlink r:id="rId4" w:tgtFrame="_blank" w:history="1">
        <w:r w:rsidRPr="001433F3">
          <w:rPr>
            <w:rFonts w:ascii="Georgia" w:eastAsia="Times New Roman" w:hAnsi="Georgia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https://doi.org/10.1111/ele.13898</w:t>
        </w:r>
      </w:hyperlink>
    </w:p>
    <w:p w14:paraId="19F3DC4B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</w:p>
    <w:p w14:paraId="3B56D5D4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Ocampo-Peñuela, N., de Alfaro, L., Tai, J.,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Valett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, N., Adler, C., &amp; Nazarov, A. (2023).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EcoScape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: A model for species-specific functional habitat connectivity. In Research Square. </w:t>
      </w:r>
      <w:hyperlink r:id="rId5" w:tgtFrame="_blank" w:history="1">
        <w:r w:rsidRPr="001433F3">
          <w:rPr>
            <w:rFonts w:ascii="Georgia" w:eastAsia="Times New Roman" w:hAnsi="Georgia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https://doi.org/10.21203/rs.3.rs-3650354/v1</w:t>
        </w:r>
      </w:hyperlink>
    </w:p>
    <w:p w14:paraId="0D5602C8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</w:p>
    <w:p w14:paraId="37B56130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lastRenderedPageBreak/>
        <w:t xml:space="preserve">Hintze, C., Heydel, F., Hoppe, C.,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Cunze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, S., König, A., &amp;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Tackenberg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, O. (2013). D3: The Dispersal and Diaspore Database – Baseline data and statistics on seed dispersal. Perspectives in Plant Ecology, Evolution and Systematics, 15(3), 180–192. </w:t>
      </w:r>
      <w:hyperlink r:id="rId6" w:tgtFrame="_blank" w:history="1">
        <w:r w:rsidRPr="001433F3">
          <w:rPr>
            <w:rFonts w:ascii="Georgia" w:eastAsia="Times New Roman" w:hAnsi="Georgia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https://doi.org/10.1016/j.ppees.2013.02.001</w:t>
        </w:r>
      </w:hyperlink>
    </w:p>
    <w:p w14:paraId="445E408F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</w:p>
    <w:p w14:paraId="6EDF8AC8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Dalling, J. W., Muller-Landau, H. C., Wright, S. J., &amp; Hubbell, S. P. (2002). Role of dispersal in the recruitment limitation of neotropical pioneer species. Journal of Ecology, 90, 714–727. </w:t>
      </w:r>
      <w:hyperlink r:id="rId7" w:tgtFrame="_blank" w:history="1">
        <w:r w:rsidRPr="001433F3">
          <w:rPr>
            <w:rFonts w:ascii="Georgia" w:eastAsia="Times New Roman" w:hAnsi="Georgia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https://doi.org/10.1046/j.1365-2745.2002.00706.x</w:t>
        </w:r>
      </w:hyperlink>
    </w:p>
    <w:p w14:paraId="10DC1CE3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</w:p>
    <w:p w14:paraId="674CD81A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 xml:space="preserve">Midgley, G. F., Hughes, G. O., </w:t>
      </w:r>
      <w:proofErr w:type="spellStart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Thuiller</w:t>
      </w:r>
      <w:proofErr w:type="spellEnd"/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, W., &amp; Rebelo, A. G. (2006). Migration rate limitations on climate change</w:t>
      </w:r>
      <w:r w:rsidRPr="001433F3">
        <w:rPr>
          <w:rFonts w:ascii="Cambria Math" w:eastAsia="Times New Roman" w:hAnsi="Cambria Math" w:cs="Cambria Math"/>
          <w:color w:val="222222"/>
          <w:kern w:val="0"/>
          <w:sz w:val="22"/>
          <w:szCs w:val="22"/>
          <w14:ligatures w14:val="none"/>
        </w:rPr>
        <w:t>‐</w:t>
      </w: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induced range shifts in Cape Proteaceae. Diversity &amp; Distributions, 12(5), 555–562. </w:t>
      </w:r>
      <w:hyperlink r:id="rId8" w:tgtFrame="_blank" w:history="1">
        <w:r w:rsidRPr="001433F3">
          <w:rPr>
            <w:rFonts w:ascii="Georgia" w:eastAsia="Times New Roman" w:hAnsi="Georgia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https://doi.org/10.1111/j.1366-9516.2006.00273.x</w:t>
        </w:r>
      </w:hyperlink>
    </w:p>
    <w:p w14:paraId="0A0B3AA9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</w:pPr>
    </w:p>
    <w:p w14:paraId="6BD6175F" w14:textId="77777777" w:rsidR="001433F3" w:rsidRPr="001433F3" w:rsidRDefault="001433F3" w:rsidP="001433F3">
      <w:pPr>
        <w:spacing w:after="0" w:line="240" w:lineRule="auto"/>
        <w:rPr>
          <w:rFonts w:ascii="Georgia" w:eastAsia="Times New Roman" w:hAnsi="Georgia" w:cs="Times New Roman"/>
          <w:color w:val="222222"/>
          <w:kern w:val="0"/>
          <w:sz w:val="22"/>
          <w:szCs w:val="22"/>
          <w14:ligatures w14:val="none"/>
        </w:rPr>
      </w:pPr>
      <w:r w:rsidRPr="001433F3">
        <w:rPr>
          <w:rFonts w:ascii="Georgia" w:eastAsia="Times New Roman" w:hAnsi="Georgia" w:cs="Arial"/>
          <w:color w:val="222222"/>
          <w:kern w:val="0"/>
          <w:sz w:val="22"/>
          <w:szCs w:val="22"/>
          <w14:ligatures w14:val="none"/>
        </w:rPr>
        <w:t>Muller-Landau, H. C., &amp; Hardesty, B. D. (2005). Seed dispersal of woody plants in tropical forests: concepts, examples and future directions. In Biotic Interactions in the Tropics Their Role in the Maintenance of Species Diversity (pp. 267–309). Cambridge University Press. </w:t>
      </w:r>
      <w:hyperlink r:id="rId9" w:tgtFrame="_blank" w:history="1">
        <w:r w:rsidRPr="001433F3">
          <w:rPr>
            <w:rFonts w:ascii="Georgia" w:eastAsia="Times New Roman" w:hAnsi="Georgia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https://doi.org/10.1017/CBO9780511541971.012</w:t>
        </w:r>
      </w:hyperlink>
      <w:r w:rsidRPr="001433F3">
        <w:rPr>
          <w:rFonts w:ascii="Georgia" w:eastAsia="Times New Roman" w:hAnsi="Georgia" w:cs="Times New Roman"/>
          <w:color w:val="222222"/>
          <w:kern w:val="0"/>
          <w:sz w:val="22"/>
          <w:szCs w:val="22"/>
          <w14:ligatures w14:val="none"/>
        </w:rPr>
        <w:t>"</w:t>
      </w:r>
    </w:p>
    <w:p w14:paraId="2595F133" w14:textId="77777777" w:rsidR="001433F3" w:rsidRPr="00F10715" w:rsidRDefault="001433F3">
      <w:pPr>
        <w:rPr>
          <w:rFonts w:ascii="Georgia" w:hAnsi="Georgia"/>
          <w:sz w:val="22"/>
          <w:szCs w:val="22"/>
        </w:rPr>
      </w:pPr>
    </w:p>
    <w:sectPr w:rsidR="001433F3" w:rsidRPr="00F10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F3"/>
    <w:rsid w:val="001433F3"/>
    <w:rsid w:val="005E6C7E"/>
    <w:rsid w:val="00F1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527F0"/>
  <w15:chartTrackingRefBased/>
  <w15:docId w15:val="{B0380D93-EFCC-F54D-931B-C953C50D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433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7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69828">
              <w:marLeft w:val="15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366-9516.2006.00273.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46/j.1365-2745.2002.00706.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ppees.2013.02.00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21203/rs.3.rs-3650354/v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i.org/10.1111/ele.13898" TargetMode="External"/><Relationship Id="rId9" Type="http://schemas.openxmlformats.org/officeDocument/2006/relationships/hyperlink" Target="https://doi.org/10.1017/CBO9780511541971.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Song</dc:creator>
  <cp:keywords/>
  <dc:description/>
  <cp:lastModifiedBy>Lei Song</cp:lastModifiedBy>
  <cp:revision>2</cp:revision>
  <dcterms:created xsi:type="dcterms:W3CDTF">2025-03-19T22:02:00Z</dcterms:created>
  <dcterms:modified xsi:type="dcterms:W3CDTF">2025-03-19T22:03:00Z</dcterms:modified>
</cp:coreProperties>
</file>