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F7E50" w14:textId="56EFFB37" w:rsidR="003F72BE" w:rsidRPr="006707BC" w:rsidRDefault="003F72BE">
      <w:pPr>
        <w:rPr>
          <w:rFonts w:ascii="Georgia" w:hAnsi="Georgia"/>
          <w:sz w:val="22"/>
          <w:szCs w:val="22"/>
        </w:rPr>
      </w:pPr>
      <w:r w:rsidRPr="006707BC">
        <w:rPr>
          <w:rFonts w:ascii="Georgia" w:hAnsi="Georgia"/>
          <w:sz w:val="22"/>
          <w:szCs w:val="22"/>
        </w:rPr>
        <w:t>Definitions of Key Terms Describing Environmental Influence on Species Distributions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7"/>
        <w:gridCol w:w="2843"/>
        <w:gridCol w:w="4860"/>
      </w:tblGrid>
      <w:tr w:rsidR="00053931" w:rsidRPr="00142922" w14:paraId="6392D770" w14:textId="77777777" w:rsidTr="006F4C2E">
        <w:trPr>
          <w:trHeight w:val="360"/>
        </w:trPr>
        <w:tc>
          <w:tcPr>
            <w:tcW w:w="1387" w:type="dxa"/>
            <w:shd w:val="clear" w:color="auto" w:fill="C2D0D6"/>
            <w:vAlign w:val="center"/>
          </w:tcPr>
          <w:p w14:paraId="638BB6F4" w14:textId="29B7B867" w:rsidR="004C4A15" w:rsidRPr="00142922" w:rsidRDefault="004C4A15" w:rsidP="00053931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bookmarkStart w:id="0" w:name="OLE_LINK23"/>
            <w:r w:rsidRPr="00142922">
              <w:rPr>
                <w:rFonts w:ascii="Helvetica" w:hAnsi="Helvetica"/>
                <w:b/>
                <w:bCs/>
                <w:sz w:val="20"/>
                <w:szCs w:val="20"/>
              </w:rPr>
              <w:t>Term</w:t>
            </w:r>
          </w:p>
        </w:tc>
        <w:tc>
          <w:tcPr>
            <w:tcW w:w="2843" w:type="dxa"/>
            <w:shd w:val="clear" w:color="auto" w:fill="C2D0D6"/>
            <w:vAlign w:val="center"/>
          </w:tcPr>
          <w:p w14:paraId="01F68962" w14:textId="4F15B5BD" w:rsidR="004C4A15" w:rsidRPr="00142922" w:rsidRDefault="004C4A15" w:rsidP="00053931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142922">
              <w:rPr>
                <w:rFonts w:ascii="Helvetica" w:hAnsi="Helvetica"/>
                <w:b/>
                <w:bCs/>
                <w:sz w:val="20"/>
                <w:szCs w:val="20"/>
              </w:rPr>
              <w:t>Definition</w:t>
            </w:r>
          </w:p>
        </w:tc>
        <w:tc>
          <w:tcPr>
            <w:tcW w:w="4860" w:type="dxa"/>
            <w:shd w:val="clear" w:color="auto" w:fill="C2D0D6"/>
            <w:vAlign w:val="center"/>
          </w:tcPr>
          <w:p w14:paraId="6A0126CD" w14:textId="306B8502" w:rsidR="004C4A15" w:rsidRPr="00142922" w:rsidRDefault="004C4A15" w:rsidP="00053931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142922">
              <w:rPr>
                <w:rFonts w:ascii="Helvetica" w:hAnsi="Helvetica"/>
                <w:b/>
                <w:bCs/>
                <w:sz w:val="20"/>
                <w:szCs w:val="20"/>
              </w:rPr>
              <w:t>Interpretation</w:t>
            </w:r>
          </w:p>
        </w:tc>
      </w:tr>
      <w:tr w:rsidR="00883BB2" w:rsidRPr="00142922" w14:paraId="7BFE63A1" w14:textId="77777777" w:rsidTr="006F4C2E">
        <w:tc>
          <w:tcPr>
            <w:tcW w:w="1387" w:type="dxa"/>
            <w:tcBorders>
              <w:bottom w:val="single" w:sz="4" w:space="0" w:color="C2D0D6"/>
            </w:tcBorders>
            <w:shd w:val="clear" w:color="auto" w:fill="DDE3E7"/>
          </w:tcPr>
          <w:p w14:paraId="135FC8D8" w14:textId="5072CA15" w:rsidR="004C4A15" w:rsidRPr="00142922" w:rsidRDefault="004C4A15">
            <w:pPr>
              <w:rPr>
                <w:rFonts w:ascii="Helvetica" w:hAnsi="Helvetica"/>
                <w:b/>
                <w:bCs/>
                <w:color w:val="428E7D"/>
                <w:sz w:val="20"/>
                <w:szCs w:val="20"/>
              </w:rPr>
            </w:pPr>
            <w:r w:rsidRPr="00142922">
              <w:rPr>
                <w:rFonts w:ascii="Helvetica" w:hAnsi="Helvetica"/>
                <w:b/>
                <w:bCs/>
                <w:color w:val="428E7D"/>
                <w:sz w:val="20"/>
                <w:szCs w:val="20"/>
              </w:rPr>
              <w:t>Favoring turnover</w:t>
            </w:r>
          </w:p>
        </w:tc>
        <w:tc>
          <w:tcPr>
            <w:tcW w:w="2843" w:type="dxa"/>
            <w:tcBorders>
              <w:bottom w:val="single" w:sz="4" w:space="0" w:color="C2D0D6"/>
            </w:tcBorders>
            <w:shd w:val="clear" w:color="auto" w:fill="DDE3E7"/>
          </w:tcPr>
          <w:p w14:paraId="5CA8C22F" w14:textId="5CECE6A9" w:rsidR="004C4A15" w:rsidRPr="00722818" w:rsidRDefault="004C4A15">
            <w:pPr>
              <w:rPr>
                <w:rFonts w:ascii="Helvetica Light" w:hAnsi="Helvetica Light"/>
                <w:sz w:val="20"/>
                <w:szCs w:val="20"/>
              </w:rPr>
            </w:pPr>
            <w:r w:rsidRPr="00722818">
              <w:rPr>
                <w:rFonts w:ascii="Helvetica Light" w:hAnsi="Helvetica Light"/>
                <w:sz w:val="20"/>
                <w:szCs w:val="20"/>
              </w:rPr>
              <w:t>For a species at a location, the SHAP value of a given variable changes from ≤ 0 at baseline to &gt; 0 in the future.</w:t>
            </w:r>
          </w:p>
        </w:tc>
        <w:tc>
          <w:tcPr>
            <w:tcW w:w="4860" w:type="dxa"/>
            <w:tcBorders>
              <w:bottom w:val="single" w:sz="4" w:space="0" w:color="C2D0D6"/>
            </w:tcBorders>
            <w:shd w:val="clear" w:color="auto" w:fill="DDE3E7"/>
          </w:tcPr>
          <w:p w14:paraId="512E7C5C" w14:textId="2230755E" w:rsidR="004C4A15" w:rsidRPr="00722818" w:rsidRDefault="004C4A15">
            <w:pPr>
              <w:rPr>
                <w:rFonts w:ascii="Helvetica Light" w:hAnsi="Helvetica Light"/>
                <w:sz w:val="20"/>
                <w:szCs w:val="20"/>
              </w:rPr>
            </w:pPr>
            <w:r w:rsidRPr="00722818">
              <w:rPr>
                <w:rFonts w:ascii="Helvetica Light" w:hAnsi="Helvetica Light"/>
                <w:sz w:val="20"/>
                <w:szCs w:val="20"/>
              </w:rPr>
              <w:t xml:space="preserve">A location where an environmental </w:t>
            </w:r>
            <w:r w:rsidR="007A72BC" w:rsidRPr="00722818">
              <w:rPr>
                <w:rFonts w:ascii="Helvetica Light" w:hAnsi="Helvetica Light"/>
                <w:sz w:val="20"/>
                <w:szCs w:val="20"/>
              </w:rPr>
              <w:t>driver</w:t>
            </w:r>
            <w:r w:rsidRPr="00722818">
              <w:rPr>
                <w:rFonts w:ascii="Helvetica Light" w:hAnsi="Helvetica Light"/>
                <w:sz w:val="20"/>
                <w:szCs w:val="20"/>
              </w:rPr>
              <w:t xml:space="preserve"> changes from a negative (or neutral) to a positive contribution to species suitability, indicating emerging local </w:t>
            </w:r>
            <w:r w:rsidR="00142922" w:rsidRPr="00722818">
              <w:rPr>
                <w:rFonts w:ascii="Helvetica Light" w:hAnsi="Helvetica Light"/>
                <w:sz w:val="20"/>
                <w:szCs w:val="20"/>
              </w:rPr>
              <w:t>opportunities</w:t>
            </w:r>
            <w:r w:rsidRPr="00722818">
              <w:rPr>
                <w:rFonts w:ascii="Helvetica Light" w:hAnsi="Helvetica Light"/>
                <w:sz w:val="20"/>
                <w:szCs w:val="20"/>
              </w:rPr>
              <w:t xml:space="preserve"> from that </w:t>
            </w:r>
            <w:r w:rsidR="007A72BC" w:rsidRPr="00722818">
              <w:rPr>
                <w:rFonts w:ascii="Helvetica Light" w:hAnsi="Helvetica Light"/>
                <w:sz w:val="20"/>
                <w:szCs w:val="20"/>
              </w:rPr>
              <w:t>driver</w:t>
            </w:r>
            <w:r w:rsidRPr="00722818">
              <w:rPr>
                <w:rFonts w:ascii="Helvetica Light" w:hAnsi="Helvetica Light"/>
                <w:sz w:val="20"/>
                <w:szCs w:val="20"/>
              </w:rPr>
              <w:t>.</w:t>
            </w:r>
          </w:p>
        </w:tc>
      </w:tr>
      <w:tr w:rsidR="00053931" w:rsidRPr="00142922" w14:paraId="7F64F394" w14:textId="77777777" w:rsidTr="006F4C2E">
        <w:tc>
          <w:tcPr>
            <w:tcW w:w="1387" w:type="dxa"/>
            <w:tcBorders>
              <w:top w:val="single" w:sz="4" w:space="0" w:color="C2D0D6"/>
              <w:bottom w:val="single" w:sz="4" w:space="0" w:color="C2D0D6"/>
            </w:tcBorders>
            <w:shd w:val="clear" w:color="auto" w:fill="DDE3E7"/>
          </w:tcPr>
          <w:p w14:paraId="694105DB" w14:textId="114233FC" w:rsidR="004C4A15" w:rsidRPr="00142922" w:rsidRDefault="008856E4">
            <w:pPr>
              <w:rPr>
                <w:rFonts w:ascii="Helvetica" w:hAnsi="Helvetica"/>
                <w:b/>
                <w:bCs/>
                <w:color w:val="A7703A"/>
                <w:sz w:val="20"/>
                <w:szCs w:val="20"/>
              </w:rPr>
            </w:pPr>
            <w:r w:rsidRPr="00142922">
              <w:rPr>
                <w:rFonts w:ascii="Helvetica" w:hAnsi="Helvetica"/>
                <w:b/>
                <w:bCs/>
                <w:color w:val="A7703A"/>
                <w:sz w:val="20"/>
                <w:szCs w:val="20"/>
              </w:rPr>
              <w:t>Dis</w:t>
            </w:r>
            <w:r w:rsidR="004C4A15" w:rsidRPr="00142922">
              <w:rPr>
                <w:rFonts w:ascii="Helvetica" w:hAnsi="Helvetica"/>
                <w:b/>
                <w:bCs/>
                <w:color w:val="A7703A"/>
                <w:sz w:val="20"/>
                <w:szCs w:val="20"/>
              </w:rPr>
              <w:t>favoring turnover</w:t>
            </w:r>
          </w:p>
        </w:tc>
        <w:tc>
          <w:tcPr>
            <w:tcW w:w="2843" w:type="dxa"/>
            <w:tcBorders>
              <w:top w:val="single" w:sz="4" w:space="0" w:color="C2D0D6"/>
              <w:bottom w:val="single" w:sz="4" w:space="0" w:color="C2D0D6"/>
            </w:tcBorders>
            <w:shd w:val="clear" w:color="auto" w:fill="DDE3E7"/>
          </w:tcPr>
          <w:p w14:paraId="7E8A91D3" w14:textId="0111E00C" w:rsidR="004C4A15" w:rsidRPr="00722818" w:rsidRDefault="004C4A15">
            <w:pPr>
              <w:rPr>
                <w:rFonts w:ascii="Helvetica Light" w:hAnsi="Helvetica Light"/>
                <w:sz w:val="20"/>
                <w:szCs w:val="20"/>
              </w:rPr>
            </w:pPr>
            <w:r w:rsidRPr="00722818">
              <w:rPr>
                <w:rFonts w:ascii="Helvetica Light" w:hAnsi="Helvetica Light"/>
                <w:sz w:val="20"/>
                <w:szCs w:val="20"/>
              </w:rPr>
              <w:t>For a species at a location, the SHAP value of a given variable changes from &gt; 0 at baseline to ≤ 0 in the future.</w:t>
            </w:r>
          </w:p>
        </w:tc>
        <w:tc>
          <w:tcPr>
            <w:tcW w:w="4860" w:type="dxa"/>
            <w:tcBorders>
              <w:top w:val="single" w:sz="4" w:space="0" w:color="C2D0D6"/>
              <w:bottom w:val="single" w:sz="4" w:space="0" w:color="C2D0D6"/>
            </w:tcBorders>
            <w:shd w:val="clear" w:color="auto" w:fill="DDE3E7"/>
          </w:tcPr>
          <w:p w14:paraId="250941BE" w14:textId="35A90122" w:rsidR="004C4A15" w:rsidRPr="00722818" w:rsidRDefault="004C4A15">
            <w:pPr>
              <w:rPr>
                <w:rFonts w:ascii="Helvetica Light" w:hAnsi="Helvetica Light"/>
                <w:sz w:val="20"/>
                <w:szCs w:val="20"/>
              </w:rPr>
            </w:pPr>
            <w:r w:rsidRPr="00722818">
              <w:rPr>
                <w:rFonts w:ascii="Helvetica Light" w:hAnsi="Helvetica Light"/>
                <w:sz w:val="20"/>
                <w:szCs w:val="20"/>
              </w:rPr>
              <w:t xml:space="preserve">A location where an environmental </w:t>
            </w:r>
            <w:r w:rsidR="007A72BC" w:rsidRPr="00722818">
              <w:rPr>
                <w:rFonts w:ascii="Helvetica Light" w:hAnsi="Helvetica Light"/>
                <w:sz w:val="20"/>
                <w:szCs w:val="20"/>
              </w:rPr>
              <w:t>driver</w:t>
            </w:r>
            <w:r w:rsidRPr="00722818">
              <w:rPr>
                <w:rFonts w:ascii="Helvetica Light" w:hAnsi="Helvetica Light"/>
                <w:sz w:val="20"/>
                <w:szCs w:val="20"/>
              </w:rPr>
              <w:t xml:space="preserve"> changes from a positive to a negative (or neutral) contribution to species suitability, indicating a local </w:t>
            </w:r>
            <w:r w:rsidR="00142922" w:rsidRPr="00722818">
              <w:rPr>
                <w:rFonts w:ascii="Helvetica Light" w:hAnsi="Helvetica Light"/>
                <w:sz w:val="20"/>
                <w:szCs w:val="20"/>
              </w:rPr>
              <w:t>exposure</w:t>
            </w:r>
            <w:r w:rsidRPr="00722818">
              <w:rPr>
                <w:rFonts w:ascii="Helvetica Light" w:hAnsi="Helvetica Light"/>
                <w:sz w:val="20"/>
                <w:szCs w:val="20"/>
              </w:rPr>
              <w:t xml:space="preserve"> associated with that </w:t>
            </w:r>
            <w:r w:rsidR="007A72BC" w:rsidRPr="00722818">
              <w:rPr>
                <w:rFonts w:ascii="Helvetica Light" w:hAnsi="Helvetica Light"/>
                <w:sz w:val="20"/>
                <w:szCs w:val="20"/>
              </w:rPr>
              <w:t>driver</w:t>
            </w:r>
            <w:r w:rsidRPr="00722818">
              <w:rPr>
                <w:rFonts w:ascii="Helvetica Light" w:hAnsi="Helvetica Light"/>
                <w:sz w:val="20"/>
                <w:szCs w:val="20"/>
              </w:rPr>
              <w:t>.</w:t>
            </w:r>
          </w:p>
        </w:tc>
      </w:tr>
      <w:tr w:rsidR="004C4A15" w:rsidRPr="00142922" w14:paraId="30A41B08" w14:textId="77777777" w:rsidTr="006F4C2E">
        <w:tc>
          <w:tcPr>
            <w:tcW w:w="1387" w:type="dxa"/>
            <w:tcBorders>
              <w:top w:val="single" w:sz="4" w:space="0" w:color="C2D0D6"/>
            </w:tcBorders>
            <w:shd w:val="clear" w:color="auto" w:fill="DDE3E7"/>
          </w:tcPr>
          <w:p w14:paraId="5EE18381" w14:textId="3830B644" w:rsidR="004C4A15" w:rsidRPr="00142922" w:rsidRDefault="008856E4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142922">
              <w:rPr>
                <w:rFonts w:ascii="Helvetica" w:hAnsi="Helvetica"/>
                <w:b/>
                <w:bCs/>
                <w:sz w:val="20"/>
                <w:szCs w:val="20"/>
              </w:rPr>
              <w:t>Favorability</w:t>
            </w:r>
            <w:r w:rsidR="004C4A15" w:rsidRPr="00142922">
              <w:rPr>
                <w:rFonts w:ascii="Helvetica" w:hAnsi="Helvetica"/>
                <w:b/>
                <w:bCs/>
                <w:sz w:val="20"/>
                <w:szCs w:val="20"/>
              </w:rPr>
              <w:t xml:space="preserve"> shifts</w:t>
            </w:r>
          </w:p>
        </w:tc>
        <w:tc>
          <w:tcPr>
            <w:tcW w:w="2843" w:type="dxa"/>
            <w:tcBorders>
              <w:top w:val="single" w:sz="4" w:space="0" w:color="C2D0D6"/>
            </w:tcBorders>
            <w:shd w:val="clear" w:color="auto" w:fill="DDE3E7"/>
          </w:tcPr>
          <w:p w14:paraId="0C7EC6C1" w14:textId="50803A57" w:rsidR="004C4A15" w:rsidRPr="00722818" w:rsidRDefault="004C4A15">
            <w:pPr>
              <w:rPr>
                <w:rFonts w:ascii="Helvetica Light" w:hAnsi="Helvetica Light"/>
                <w:sz w:val="20"/>
                <w:szCs w:val="20"/>
              </w:rPr>
            </w:pPr>
            <w:r w:rsidRPr="00722818">
              <w:rPr>
                <w:rFonts w:ascii="Helvetica Light" w:hAnsi="Helvetica Light"/>
                <w:sz w:val="20"/>
                <w:szCs w:val="20"/>
              </w:rPr>
              <w:t>For a species at a location, change in the SHAP value of a given variable from baseline to future</w:t>
            </w:r>
            <w:r w:rsidR="008856E4" w:rsidRPr="00722818">
              <w:rPr>
                <w:rFonts w:ascii="Helvetica Light" w:hAnsi="Helvetica Light"/>
                <w:sz w:val="20"/>
                <w:szCs w:val="20"/>
              </w:rPr>
              <w:t xml:space="preserve"> (∆SHAP)</w:t>
            </w:r>
            <w:r w:rsidRPr="00722818">
              <w:rPr>
                <w:rFonts w:ascii="Helvetica Light" w:hAnsi="Helvetica Light"/>
                <w:sz w:val="20"/>
                <w:szCs w:val="20"/>
              </w:rPr>
              <w:t>.</w:t>
            </w:r>
          </w:p>
        </w:tc>
        <w:tc>
          <w:tcPr>
            <w:tcW w:w="4860" w:type="dxa"/>
            <w:tcBorders>
              <w:top w:val="single" w:sz="4" w:space="0" w:color="C2D0D6"/>
            </w:tcBorders>
            <w:shd w:val="clear" w:color="auto" w:fill="DDE3E7"/>
          </w:tcPr>
          <w:p w14:paraId="769B9A40" w14:textId="55C8C4FD" w:rsidR="004C4A15" w:rsidRPr="00722818" w:rsidRDefault="007A72BC">
            <w:pPr>
              <w:rPr>
                <w:rFonts w:ascii="Helvetica Light" w:hAnsi="Helvetica Light"/>
                <w:sz w:val="20"/>
                <w:szCs w:val="20"/>
              </w:rPr>
            </w:pPr>
            <w:r w:rsidRPr="00722818">
              <w:rPr>
                <w:rFonts w:ascii="Helvetica Light" w:hAnsi="Helvetica Light"/>
                <w:sz w:val="20"/>
                <w:szCs w:val="20"/>
              </w:rPr>
              <w:t>A change in the magnitude of a driver’s contribution to suitability. A decreasing contribution may reflect rising risk, while an increasing contribution may suggest potential relief associated with that driver.</w:t>
            </w:r>
          </w:p>
        </w:tc>
      </w:tr>
      <w:bookmarkEnd w:id="0"/>
    </w:tbl>
    <w:p w14:paraId="5DB93AB0" w14:textId="7506AAC4" w:rsidR="00142922" w:rsidRPr="00142922" w:rsidRDefault="00142922">
      <w:pPr>
        <w:rPr>
          <w:rFonts w:ascii="Helvetica" w:hAnsi="Helvetica"/>
        </w:rPr>
      </w:pPr>
    </w:p>
    <w:sectPr w:rsidR="00142922" w:rsidRPr="0014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8838BF"/>
    <w:multiLevelType w:val="hybridMultilevel"/>
    <w:tmpl w:val="DB40C600"/>
    <w:lvl w:ilvl="0" w:tplc="35A08940">
      <w:start w:val="1"/>
      <w:numFmt w:val="upperLetter"/>
      <w:lvlText w:val="(%1)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 w16cid:durableId="49977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BE"/>
    <w:rsid w:val="00053931"/>
    <w:rsid w:val="000F3196"/>
    <w:rsid w:val="00142922"/>
    <w:rsid w:val="003F72BE"/>
    <w:rsid w:val="0044544B"/>
    <w:rsid w:val="004C4A15"/>
    <w:rsid w:val="00573C35"/>
    <w:rsid w:val="006707BC"/>
    <w:rsid w:val="006C4112"/>
    <w:rsid w:val="006F4C2E"/>
    <w:rsid w:val="00722818"/>
    <w:rsid w:val="007A72BC"/>
    <w:rsid w:val="00883BB2"/>
    <w:rsid w:val="008856E4"/>
    <w:rsid w:val="008F3824"/>
    <w:rsid w:val="009139FE"/>
    <w:rsid w:val="00991306"/>
    <w:rsid w:val="00A40BFF"/>
    <w:rsid w:val="00A732A3"/>
    <w:rsid w:val="00D4615B"/>
    <w:rsid w:val="00F2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A06B"/>
  <w15:chartTrackingRefBased/>
  <w15:docId w15:val="{B12602D0-D015-9E46-A6BC-8329791C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2B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F72BE"/>
    <w:rPr>
      <w:b/>
      <w:bCs/>
    </w:rPr>
  </w:style>
  <w:style w:type="table" w:styleId="PlainTable3">
    <w:name w:val="Plain Table 3"/>
    <w:basedOn w:val="TableNormal"/>
    <w:uiPriority w:val="43"/>
    <w:rsid w:val="003F72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F72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A40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6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Song</dc:creator>
  <cp:keywords/>
  <dc:description/>
  <cp:lastModifiedBy>Lei Song</cp:lastModifiedBy>
  <cp:revision>8</cp:revision>
  <dcterms:created xsi:type="dcterms:W3CDTF">2025-07-09T00:14:00Z</dcterms:created>
  <dcterms:modified xsi:type="dcterms:W3CDTF">2025-07-11T20:56:00Z</dcterms:modified>
</cp:coreProperties>
</file>