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  <w:vanish w:val="fals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  <w:vanish w:val="fals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8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8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8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LinkdaInternet"/>
        </w:rPr>
        <w:t>https://github.com/LLinden/TCC-EBAC/blob/main/Crit%C3%A9rio%20de%20aceita%C3%A7%C3%A3o%20USs/%5BUS-0001%5D%20%E2%80%93%20Adicionar%20item%20ao%20carrinho.feature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[US-0002] – Login na plataforma [Contém cenários que serão automatizados]</w:t>
      </w:r>
    </w:p>
    <w:p>
      <w:pPr>
        <w:pStyle w:val="ListParagraph"/>
        <w:ind w:left="720" w:hanging="0"/>
        <w:rPr/>
      </w:pPr>
      <w:hyperlink r:id="rId7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LinkdaInternet"/>
          <w:rFonts w:cs="Arial" w:ascii="Arial" w:hAnsi="Arial"/>
          <w:color w:val="000000" w:themeColor="text1"/>
          <w:sz w:val="24"/>
          <w:szCs w:val="24"/>
        </w:rPr>
        <w:t>https://github.com/LLinden/TCC-EBAC/blob/main/Crit%C3%A9rio%20de%20aceita%C3%A7%C3%A3o%20USs/%5BUS-0003%5D%20%E2%80%93%20API%20de%20cupons.feature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https://github.com/LLinden/TCC-EBAC/blob/main/USs/US005%20-%20Painel%20Minha%20Conta.odt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https://github.com/LLinden/TCC-EBAC/blob/main/USs/US006%20-%20Meus%20Pedidos.odt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https://github.com/LLinden/TCC-EBAC/blob/main/USs/US007%20-%20Endere%C3%A7os.odt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https://github.com/LLinden/TCC-EBAC/blob/main/USs/US008%20-%20Detalhes%20da%20Conta.odt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https://github.com/LLinden/TCC-EBAC/blob/main/CTs/CTs%20US004%20-%20Cat%C3%A1logo%20de%20Produtos.feature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https://github.com/LLinden/TCC-EBAC/blob/main/CTs/CTs%20US005%20-%20Painel%20Minha%20Conta.feature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https://github.com/LLinden/TCC-EBAC/blob/main/CTs/CTs%20US006%20-%20Meus%20Pedidos.feature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https://github.com/LLinden/TCC-EBAC/blob/main/CTs/CTs%20US007%20-%20Endere%C3%A7os.feature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left="720" w:hanging="0"/>
        <w:rPr/>
      </w:pPr>
      <w:r>
        <w:rPr/>
        <w:t>https://github.com/LLinden/TCC-EBAC/blob/main/CTs/CTs%20US008%20-%20Detalhes%20da%20Conta.feature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0"/>
        </w:numPr>
        <w:ind w:left="1428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Justificativa para escolha do framework Cypress para os testes de UI:</w:t>
        <w:br/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1. Características tecnológicas da aplicação: o Cypress foi desenvolvido especificamente para testes de plataformas web, contendo inclusive a possibilidade de realização de testes de componentes do Frontend, caso a equipe deseje incrementar os testes de UI no futuro.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2. Composição dos times: considerando as características do portal EBAC-SHOP supõe-se que haja um foco maior no Frontend do que Backend. Assim, seria mais fácil e seguro para os QAs a obtenção de apoio para o desenvolvimento da automação em caso de dúvidas junto aos desenvolvedores de Frontend, que possuem conhecimento em JavaScript (linguagem do Cypress);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3. Disponibilidade de material de treinamento e suporte: Cypress é uma ferramenta que vem crescendo no mercado, o que significa que há uma crescente paralela de cursos, artigos e diversos materiais de apoio disponíveis online.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4. Extensões: Cypress já possui por padrão uma ferramenta de análise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(Analytics) que facilita a visualização da execução dos testes para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stakeholders e possui fácil integração com ferramentas de geração de relatórios. Além disso, pode integrar-se com o Percy, facilitando testes de regressão visual que podem, inclusive, envolver o UX Designer da equipe.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Comparativo entre outros framewoks: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8323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9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0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2%5D &#8211; Login na plataforma.feature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github.com/EBAC-QE/testes-mobile-ebac-shop/tree/main/app/android" TargetMode="External"/><Relationship Id="rId10" Type="http://schemas.openxmlformats.org/officeDocument/2006/relationships/hyperlink" Target="https://github.com/EBAC-QE/testes-mobile-ebac-shop/tree/ios-tests/app/ios" TargetMode="External"/><Relationship Id="rId11" Type="http://schemas.openxmlformats.org/officeDocument/2006/relationships/image" Target="media/image3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10450</TotalTime>
  <Application>LibreOffice/7.5.3.2$Windows_X86_64 LibreOffice_project/9f56dff12ba03b9acd7730a5a481eea045e468f3</Application>
  <AppVersion>15.0000</AppVersion>
  <Pages>10</Pages>
  <Words>1041</Words>
  <Characters>6947</Characters>
  <CharactersWithSpaces>7845</CharactersWithSpaces>
  <Paragraphs>120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2023-08-30T14:49:08Z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