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AI 数据治理与企业落地实战学习指南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AI 数据治理与企业落地实战学习指南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本学习指南基于前阿里高级技术专家 Diel 曾老师关于 AI 数据治理与企业落地的深度访谈内容编写。本指南旨在解析 Open Cloud 架构核心、企业数据消费成熟度模型、RAG 落地挑战以及 AI 项目的评价体系，为开发者和企业决策者提供系统性的复习参考。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第一部分：知识检测（简答题）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指令：请根据源文本内容，用 2-3 句话回答下列问题。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Open Cloud 的核心架构由哪四个模块组成？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请简述 Open Cloud 的三层记忆架构及其功能。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在 Open Cloud 体系中，数据扮演的“三重角色”是什么？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企业数据消费的“五层成熟度模型”分别指什么？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什么是语义层（Semantic Layer），它在工程中为何被低估？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导致 RAG（检索增强生成）检索效果不稳定的四个层级是什么？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在 AI 执行边界中，哪些特征的任务被划分为“红区”（绝对禁区）？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从 Demo 走向生产环境时，AI 项目面临的“三大鸿沟”是什么？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大厂在 AI 落地路径上应遵循什么原则以避免“空转”？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“数据飞轮”框架中的四个驱动齿轮分别代表什么？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第二部分：简答题参考答案</w:t>
      </w:r>
      <w:bookmarkEnd w:id="2"/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Open Cloud 的核心架构由哪四个模块组成？</w:t>
      </w:r>
      <w:r>
        <w:rPr>
          <w:rFonts w:eastAsia="等线" w:ascii="Arial" w:cs="Arial" w:hAnsi="Arial"/>
          <w:sz w:val="22"/>
        </w:rPr>
        <w:t xml:space="preserve"> Open Cloud 作为一个 AI 优先的平台，其核心架构由 Gateway（网关）、Skills（技能）、Memory（记忆）和 Planner（规划器）四个模块组成。这些模块共同协作，驱动 AI Agent 实现自主运转。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请简述 Open Cloud 的三层记忆架构及其功能。</w:t>
      </w:r>
      <w:r>
        <w:rPr>
          <w:rFonts w:eastAsia="等线" w:ascii="Arial" w:cs="Arial" w:hAnsi="Arial"/>
          <w:sz w:val="22"/>
        </w:rPr>
        <w:t xml:space="preserve"> 第一层是短期记忆，以 JSON 格式记录单次对话的上下文、工具调用和执行结果；第二层是中期记忆，负责跨对话的任务执行状态保持；第三层是长期记忆，通过本地 Markdown 文件（如 user.md）实现的轻量级个人数据库，确保持续积累信息。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在 Open Cloud 体系中，数据扮演的“三重角色”是什么？</w:t>
      </w:r>
      <w:r>
        <w:rPr>
          <w:rFonts w:eastAsia="等线" w:ascii="Arial" w:cs="Arial" w:hAnsi="Arial"/>
          <w:sz w:val="22"/>
        </w:rPr>
        <w:t xml:space="preserve"> 首先，数据是 Agent 上下文的“燃料”，通过检索合成 Context 驱动模型回答；其次，数据是行动依据，通过语义转化将自然语言映射为结构化工具调用；最后，数据是进化基石，通过反馈闭环实现技能的低代码迭代。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企业数据消费的“五层成熟度模型”分别指什么？</w:t>
      </w:r>
      <w:r>
        <w:rPr>
          <w:rFonts w:eastAsia="等线" w:ascii="Arial" w:cs="Arial" w:hAnsi="Arial"/>
          <w:sz w:val="22"/>
        </w:rPr>
        <w:t xml:space="preserve"> 该模型包括：可获取（打通孤岛）、可理解（建立语义层）、可信任（确保质量与一致性）、可追溯（全链路观测）和可治理（权限与安全控管）。这五层决定了企业数据是否达到被 AI 消费的标准。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什么是语义层（Semantic Layer），它在工程中为何被低估？</w:t>
      </w:r>
      <w:r>
        <w:rPr>
          <w:rFonts w:eastAsia="等线" w:ascii="Arial" w:cs="Arial" w:hAnsi="Arial"/>
          <w:sz w:val="22"/>
        </w:rPr>
        <w:t xml:space="preserve"> 语义层是通过元数据描述业务字段的含义、单位、范围及关系的架构层。它被低估是因为其建设难度大，但它能确保 AI 准确理解“上月销售额”等自然语言请求，并正确映射到数据库字段和计算公式中。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导致 RAG 检索效果不稳定的四个层级是什么？</w:t>
      </w:r>
      <w:r>
        <w:rPr>
          <w:rFonts w:eastAsia="等线" w:ascii="Arial" w:cs="Arial" w:hAnsi="Arial"/>
          <w:sz w:val="22"/>
        </w:rPr>
        <w:t xml:space="preserve"> 这四个层级构成了信息损失的漏斗：数据预处理层（如解析质量差）、检索层（单一检索策略或缺乏重排序）、上下文组装层（信息冗余或冲突）以及持续运营层（缺乏反馈闭环）。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在 AI 执行边界中，哪些特征的任务被划分为“红区”（绝对禁区）？</w:t>
      </w:r>
      <w:r>
        <w:rPr>
          <w:rFonts w:eastAsia="等线" w:ascii="Arial" w:cs="Arial" w:hAnsi="Arial"/>
          <w:sz w:val="22"/>
        </w:rPr>
        <w:t xml:space="preserve"> “红区”包括不可逆操作（如物理删除）、资金相关（如转账退款）、权限变更类（修改系统配置）、涉及法律承诺以及批量处理敏感隐私数据的操作。这些任务必须严禁 AI 自主执行。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从 Demo 走向生产环境时，AI 项目面临的“三大鸿沟”是什么？</w:t>
      </w:r>
      <w:r>
        <w:rPr>
          <w:rFonts w:eastAsia="等线" w:ascii="Arial" w:cs="Arial" w:hAnsi="Arial"/>
          <w:sz w:val="22"/>
        </w:rPr>
        <w:t xml:space="preserve"> 分别是：数据鸿沟（真实数据存在漂移与边界情形）、反馈鸿沟（缺乏细粒度的负向案例收集与回测机制）和架构鸿沟（缺乏扩展性、可观测性、容错降级及成本控制）。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大厂在 AI 落地路径上应遵循什么原则以避免“空转”？</w:t>
      </w:r>
      <w:r>
        <w:rPr>
          <w:rFonts w:eastAsia="等线" w:ascii="Arial" w:cs="Arial" w:hAnsi="Arial"/>
          <w:sz w:val="22"/>
        </w:rPr>
        <w:t xml:space="preserve"> 大厂应采取“平台化先行”策略，构建统一的数据底座和 AI 中台。但为避免平台无人使用的风险，必须并行选择 1-2 个高价值场景作为“灯塔项目”，快速产出业务效果以验证价值。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“数据飞轮”框架中的四个驱动齿轮分别代表什么？</w:t>
      </w:r>
      <w:r>
        <w:rPr>
          <w:rFonts w:eastAsia="等线" w:ascii="Arial" w:cs="Arial" w:hAnsi="Arial"/>
          <w:sz w:val="22"/>
        </w:rPr>
        <w:t xml:space="preserve"> 四个齿轮分别是：数据采集层（记录交互与结果）、评测层（量化好坏）、诊断归因层（拆解问题出在数据还是模型）以及优化执行层（实现知识库更新与 Prompt 迭代的自动化）。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第三部分：深度思考题（论述题）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指令：以下问题旨在引发深层次的思考与讨论，不提供标准答案。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论数据治理与模型能力的关系：</w:t>
      </w:r>
      <w:r>
        <w:rPr>
          <w:rFonts w:eastAsia="等线" w:ascii="Arial" w:cs="Arial" w:hAnsi="Arial"/>
          <w:sz w:val="22"/>
        </w:rPr>
        <w:t xml:space="preserve"> 曾老师提到“AI 能力的上线不由模型决定，而是由它能接触到的数据质量决定”。请结合实际案例，论述在企业级应用中，精细化的数据治理如何弥补基础模型能力的不足。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RAG 与上下文工程的演进：</w:t>
      </w:r>
      <w:r>
        <w:rPr>
          <w:rFonts w:eastAsia="等线" w:ascii="Arial" w:cs="Arial" w:hAnsi="Arial"/>
          <w:sz w:val="22"/>
        </w:rPr>
        <w:t xml:space="preserve"> 随着技术发展，行业共识认为 RAG 的核心价值正从“简单检索”转向“上下文动态组装”。请探讨构建一个标准的 Context Platform（上下文平台）需要解决哪些核心工程挑战？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AI 安全的架构级保护：</w:t>
      </w:r>
      <w:r>
        <w:rPr>
          <w:rFonts w:eastAsia="等线" w:ascii="Arial" w:cs="Arial" w:hAnsi="Arial"/>
          <w:sz w:val="22"/>
        </w:rPr>
        <w:t xml:space="preserve"> 针对 Open Cloud 误删邮件事件，文中提出了“大红色按钮”和“指令不被压缩”的机制。请设想一套独立于大模型逻辑之外的权限拦截系统，应如何设计其决策流？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企业 AI 的 ROI 评估：</w:t>
      </w:r>
      <w:r>
        <w:rPr>
          <w:rFonts w:eastAsia="等线" w:ascii="Arial" w:cs="Arial" w:hAnsi="Arial"/>
          <w:sz w:val="22"/>
        </w:rPr>
        <w:t xml:space="preserve"> 除了准确率，文中提出了包括体验、可靠性、运营和业务在内的五维评估模型。请分析在不同的业务阶段（如 MVP 阶段与规模化推广阶段），这些指标的权重应如何调整？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职业发展转型：</w:t>
      </w:r>
      <w:r>
        <w:rPr>
          <w:rFonts w:eastAsia="等线" w:ascii="Arial" w:cs="Arial" w:hAnsi="Arial"/>
          <w:sz w:val="22"/>
        </w:rPr>
        <w:t xml:space="preserve"> 面对“追随问题而非模型”的建议，作为一名传统开发者，应如何构建自己的“AI 系统设计能力”，以确保在工具快速更迭的时代保持核心竞争力？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第四部分：核心术语表</w:t>
      </w:r>
      <w:bookmarkEnd w:id="4"/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97pt;mso-width-percent:0;mso-height-percent:0;mso-width-percent:0;mso-height-percent:0" type="#_x0000_t75" o:ole="">
            <v:imagedata r:id="rId6" o:title=""/>
          </v:shape>
          <o:OLEObject DrawAspect="Icon" ObjectID="_1718471219" ProgID="Excel.Sheet.12" ShapeID="_x0000_i1025" Type="Embed" r:id="rId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55804">
    <w:lvl>
      <w:start w:val="1"/>
      <w:numFmt w:val="decimal"/>
      <w:suff w:val="tab"/>
      <w:lvlText w:val="%1."/>
      <w:rPr>
        <w:color w:val="3370ff"/>
      </w:rPr>
    </w:lvl>
  </w:abstractNum>
  <w:abstractNum w:abstractNumId="355805">
    <w:lvl>
      <w:start w:val="2"/>
      <w:numFmt w:val="decimal"/>
      <w:suff w:val="tab"/>
      <w:lvlText w:val="%1."/>
      <w:rPr>
        <w:color w:val="3370ff"/>
      </w:rPr>
    </w:lvl>
  </w:abstractNum>
  <w:abstractNum w:abstractNumId="355806">
    <w:lvl>
      <w:start w:val="3"/>
      <w:numFmt w:val="decimal"/>
      <w:suff w:val="tab"/>
      <w:lvlText w:val="%1."/>
      <w:rPr>
        <w:color w:val="3370ff"/>
      </w:rPr>
    </w:lvl>
  </w:abstractNum>
  <w:abstractNum w:abstractNumId="355807">
    <w:lvl>
      <w:start w:val="4"/>
      <w:numFmt w:val="decimal"/>
      <w:suff w:val="tab"/>
      <w:lvlText w:val="%1."/>
      <w:rPr>
        <w:color w:val="3370ff"/>
      </w:rPr>
    </w:lvl>
  </w:abstractNum>
  <w:abstractNum w:abstractNumId="355808">
    <w:lvl>
      <w:start w:val="5"/>
      <w:numFmt w:val="decimal"/>
      <w:suff w:val="tab"/>
      <w:lvlText w:val="%1."/>
      <w:rPr>
        <w:color w:val="3370ff"/>
      </w:rPr>
    </w:lvl>
  </w:abstractNum>
  <w:abstractNum w:abstractNumId="355809">
    <w:lvl>
      <w:start w:val="6"/>
      <w:numFmt w:val="decimal"/>
      <w:suff w:val="tab"/>
      <w:lvlText w:val="%1."/>
      <w:rPr>
        <w:color w:val="3370ff"/>
      </w:rPr>
    </w:lvl>
  </w:abstractNum>
  <w:abstractNum w:abstractNumId="355810">
    <w:lvl>
      <w:start w:val="7"/>
      <w:numFmt w:val="decimal"/>
      <w:suff w:val="tab"/>
      <w:lvlText w:val="%1."/>
      <w:rPr>
        <w:color w:val="3370ff"/>
      </w:rPr>
    </w:lvl>
  </w:abstractNum>
  <w:abstractNum w:abstractNumId="355811">
    <w:lvl>
      <w:start w:val="8"/>
      <w:numFmt w:val="decimal"/>
      <w:suff w:val="tab"/>
      <w:lvlText w:val="%1."/>
      <w:rPr>
        <w:color w:val="3370ff"/>
      </w:rPr>
    </w:lvl>
  </w:abstractNum>
  <w:abstractNum w:abstractNumId="355812">
    <w:lvl>
      <w:start w:val="9"/>
      <w:numFmt w:val="decimal"/>
      <w:suff w:val="tab"/>
      <w:lvlText w:val="%1."/>
      <w:rPr>
        <w:color w:val="3370ff"/>
      </w:rPr>
    </w:lvl>
  </w:abstractNum>
  <w:abstractNum w:abstractNumId="355813">
    <w:lvl>
      <w:start w:val="10"/>
      <w:numFmt w:val="decimal"/>
      <w:suff w:val="tab"/>
      <w:lvlText w:val="%1."/>
      <w:rPr>
        <w:color w:val="3370ff"/>
      </w:rPr>
    </w:lvl>
  </w:abstractNum>
  <w:abstractNum w:abstractNumId="355814">
    <w:lvl>
      <w:start w:val="1"/>
      <w:numFmt w:val="decimal"/>
      <w:suff w:val="tab"/>
      <w:lvlText w:val="%1."/>
      <w:rPr>
        <w:color w:val="3370ff"/>
      </w:rPr>
    </w:lvl>
  </w:abstractNum>
  <w:abstractNum w:abstractNumId="355815">
    <w:lvl>
      <w:start w:val="2"/>
      <w:numFmt w:val="decimal"/>
      <w:suff w:val="tab"/>
      <w:lvlText w:val="%1."/>
      <w:rPr>
        <w:color w:val="3370ff"/>
      </w:rPr>
    </w:lvl>
  </w:abstractNum>
  <w:abstractNum w:abstractNumId="355816">
    <w:lvl>
      <w:start w:val="3"/>
      <w:numFmt w:val="decimal"/>
      <w:suff w:val="tab"/>
      <w:lvlText w:val="%1."/>
      <w:rPr>
        <w:color w:val="3370ff"/>
      </w:rPr>
    </w:lvl>
  </w:abstractNum>
  <w:abstractNum w:abstractNumId="355817">
    <w:lvl>
      <w:start w:val="4"/>
      <w:numFmt w:val="decimal"/>
      <w:suff w:val="tab"/>
      <w:lvlText w:val="%1."/>
      <w:rPr>
        <w:color w:val="3370ff"/>
      </w:rPr>
    </w:lvl>
  </w:abstractNum>
  <w:abstractNum w:abstractNumId="355818">
    <w:lvl>
      <w:start w:val="5"/>
      <w:numFmt w:val="decimal"/>
      <w:suff w:val="tab"/>
      <w:lvlText w:val="%1."/>
      <w:rPr>
        <w:color w:val="3370ff"/>
      </w:rPr>
    </w:lvl>
  </w:abstractNum>
  <w:abstractNum w:abstractNumId="355819">
    <w:lvl>
      <w:start w:val="6"/>
      <w:numFmt w:val="decimal"/>
      <w:suff w:val="tab"/>
      <w:lvlText w:val="%1."/>
      <w:rPr>
        <w:color w:val="3370ff"/>
      </w:rPr>
    </w:lvl>
  </w:abstractNum>
  <w:abstractNum w:abstractNumId="355820">
    <w:lvl>
      <w:start w:val="7"/>
      <w:numFmt w:val="decimal"/>
      <w:suff w:val="tab"/>
      <w:lvlText w:val="%1."/>
      <w:rPr>
        <w:color w:val="3370ff"/>
      </w:rPr>
    </w:lvl>
  </w:abstractNum>
  <w:abstractNum w:abstractNumId="355821">
    <w:lvl>
      <w:start w:val="8"/>
      <w:numFmt w:val="decimal"/>
      <w:suff w:val="tab"/>
      <w:lvlText w:val="%1."/>
      <w:rPr>
        <w:color w:val="3370ff"/>
      </w:rPr>
    </w:lvl>
  </w:abstractNum>
  <w:abstractNum w:abstractNumId="355822">
    <w:lvl>
      <w:start w:val="9"/>
      <w:numFmt w:val="decimal"/>
      <w:suff w:val="tab"/>
      <w:lvlText w:val="%1."/>
      <w:rPr>
        <w:color w:val="3370ff"/>
      </w:rPr>
    </w:lvl>
  </w:abstractNum>
  <w:abstractNum w:abstractNumId="355823">
    <w:lvl>
      <w:start w:val="10"/>
      <w:numFmt w:val="decimal"/>
      <w:suff w:val="tab"/>
      <w:lvlText w:val="%1."/>
      <w:rPr>
        <w:color w:val="3370ff"/>
      </w:rPr>
    </w:lvl>
  </w:abstractNum>
  <w:abstractNum w:abstractNumId="355824">
    <w:lvl>
      <w:start w:val="1"/>
      <w:numFmt w:val="decimal"/>
      <w:suff w:val="tab"/>
      <w:lvlText w:val="%1."/>
      <w:rPr>
        <w:color w:val="3370ff"/>
      </w:rPr>
    </w:lvl>
  </w:abstractNum>
  <w:abstractNum w:abstractNumId="355825">
    <w:lvl>
      <w:start w:val="2"/>
      <w:numFmt w:val="decimal"/>
      <w:suff w:val="tab"/>
      <w:lvlText w:val="%1."/>
      <w:rPr>
        <w:color w:val="3370ff"/>
      </w:rPr>
    </w:lvl>
  </w:abstractNum>
  <w:abstractNum w:abstractNumId="355826">
    <w:lvl>
      <w:start w:val="3"/>
      <w:numFmt w:val="decimal"/>
      <w:suff w:val="tab"/>
      <w:lvlText w:val="%1."/>
      <w:rPr>
        <w:color w:val="3370ff"/>
      </w:rPr>
    </w:lvl>
  </w:abstractNum>
  <w:abstractNum w:abstractNumId="355827">
    <w:lvl>
      <w:start w:val="4"/>
      <w:numFmt w:val="decimal"/>
      <w:suff w:val="tab"/>
      <w:lvlText w:val="%1."/>
      <w:rPr>
        <w:color w:val="3370ff"/>
      </w:rPr>
    </w:lvl>
  </w:abstractNum>
  <w:abstractNum w:abstractNumId="355828">
    <w:lvl>
      <w:start w:val="5"/>
      <w:numFmt w:val="decimal"/>
      <w:suff w:val="tab"/>
      <w:lvlText w:val="%1."/>
      <w:rPr>
        <w:color w:val="3370ff"/>
      </w:rPr>
    </w:lvl>
  </w:abstractNum>
  <w:num w:numId="1">
    <w:abstractNumId w:val="355804"/>
  </w:num>
  <w:num w:numId="2">
    <w:abstractNumId w:val="355805"/>
  </w:num>
  <w:num w:numId="3">
    <w:abstractNumId w:val="355806"/>
  </w:num>
  <w:num w:numId="4">
    <w:abstractNumId w:val="355807"/>
  </w:num>
  <w:num w:numId="5">
    <w:abstractNumId w:val="355808"/>
  </w:num>
  <w:num w:numId="6">
    <w:abstractNumId w:val="355809"/>
  </w:num>
  <w:num w:numId="7">
    <w:abstractNumId w:val="355810"/>
  </w:num>
  <w:num w:numId="8">
    <w:abstractNumId w:val="355811"/>
  </w:num>
  <w:num w:numId="9">
    <w:abstractNumId w:val="355812"/>
  </w:num>
  <w:num w:numId="10">
    <w:abstractNumId w:val="355813"/>
  </w:num>
  <w:num w:numId="11">
    <w:abstractNumId w:val="355814"/>
  </w:num>
  <w:num w:numId="12">
    <w:abstractNumId w:val="355815"/>
  </w:num>
  <w:num w:numId="13">
    <w:abstractNumId w:val="355816"/>
  </w:num>
  <w:num w:numId="14">
    <w:abstractNumId w:val="355817"/>
  </w:num>
  <w:num w:numId="15">
    <w:abstractNumId w:val="355818"/>
  </w:num>
  <w:num w:numId="16">
    <w:abstractNumId w:val="355819"/>
  </w:num>
  <w:num w:numId="17">
    <w:abstractNumId w:val="355820"/>
  </w:num>
  <w:num w:numId="18">
    <w:abstractNumId w:val="355821"/>
  </w:num>
  <w:num w:numId="19">
    <w:abstractNumId w:val="355822"/>
  </w:num>
  <w:num w:numId="20">
    <w:abstractNumId w:val="355823"/>
  </w:num>
  <w:num w:numId="21">
    <w:abstractNumId w:val="355824"/>
  </w:num>
  <w:num w:numId="22">
    <w:abstractNumId w:val="355825"/>
  </w:num>
  <w:num w:numId="23">
    <w:abstractNumId w:val="355826"/>
  </w:num>
  <w:num w:numId="24">
    <w:abstractNumId w:val="355827"/>
  </w:num>
  <w:num w:numId="25">
    <w:abstractNumId w:val="35582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embeddings/Microsoft_Excel_Worksheet1.xlsx" Type="http://schemas.openxmlformats.org/officeDocument/2006/relationships/package"/><Relationship Id="rId6" Target="media/image1.png" Type="http://schemas.openxmlformats.org/officeDocument/2006/relationships/image"/><Relationship Id="rId7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2026-03-03T16:54:01Z</dcterms:created>
  <dc:creator>Apache POI</dc:creator>
</cp:coreProperties>
</file>