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i w:val="0"/>
          <w:color w:val="141414"/>
          <w:sz w:val="40"/>
        </w:rPr>
        <w:t>Concourse — MVP Features and Build Plan</w:t>
      </w:r>
    </w:p>
    <w:p>
      <w:pPr>
        <w:spacing w:after="280"/>
      </w:pPr>
      <w:r>
        <w:rPr>
          <w:rFonts w:ascii="Calibri" w:hAnsi="Calibri"/>
          <w:b w:val="0"/>
          <w:i/>
          <w:color w:val="6E6E6E"/>
          <w:sz w:val="22"/>
        </w:rPr>
        <w:t>AI-orchestrated study planner for EPSO candidates · June 18, 2026</w:t>
      </w:r>
    </w:p>
    <w:p>
      <w:pPr>
        <w:spacing w:before="280" w:after="80"/>
      </w:pPr>
      <w:r>
        <w:rPr>
          <w:rFonts w:ascii="Calibri" w:hAnsi="Calibri"/>
          <w:b/>
          <w:i w:val="0"/>
          <w:color w:val="1E3C6E"/>
          <w:sz w:val="28"/>
        </w:rPr>
        <w:t>Summary</w:t>
      </w:r>
    </w:p>
    <w:p>
      <w:pPr>
        <w:spacing w:after="160"/>
      </w:pPr>
      <w:r>
        <w:rPr>
          <w:rFonts w:ascii="Calibri" w:hAnsi="Calibri"/>
          <w:b w:val="0"/>
          <w:i w:val="0"/>
        </w:rPr>
        <w:t xml:space="preserve">Concourse is an AI-orchestrated study planner for candidates preparing for EPSO and similar EU recruitment competitions, with an initial focus on the AD5/AD7 wave expected in the first half of September 2026. It positions as a content-agnostic </w:t>
      </w:r>
      <w:r>
        <w:rPr>
          <w:rFonts w:ascii="Calibri" w:hAnsi="Calibri"/>
          <w:b w:val="0"/>
          <w:i/>
        </w:rPr>
        <w:t>orchestration layer</w:t>
      </w:r>
      <w:r>
        <w:rPr>
          <w:rFonts w:ascii="Calibri" w:hAnsi="Calibri"/>
          <w:b w:val="0"/>
          <w:i w:val="0"/>
        </w:rPr>
        <w:t>, not a question bank: it intakes the candidate, measures real reasoning skill in-product, generates a master plan and daily plans, and re-plans weekly from observed performance. Pricing is a single plan at €24.99/month behind a 7-day trial with card required at signup.</w:t>
      </w:r>
    </w:p>
    <w:p>
      <w:pPr>
        <w:spacing w:after="160"/>
      </w:pPr>
      <w:r>
        <w:rPr>
          <w:rFonts w:ascii="Calibri" w:hAnsi="Calibri"/>
          <w:b w:val="0"/>
          <w:i w:val="0"/>
        </w:rPr>
        <w:t>The product generates its own performance data through a weekly in-app micro-diagnostic instead of relying on the user to log external practice. This single decision fixes three of the five risks in the original blueprint — manual logging, noisy CV-based scoring, and thin defensibility — and makes a real data moat possible. CV-fit is demoted to a one-time strategy modifier at intake, not a daily allocation driver.</w:t>
      </w:r>
    </w:p>
    <w:p>
      <w:pPr>
        <w:spacing w:after="160"/>
      </w:pPr>
      <w:r>
        <w:rPr>
          <w:rFonts w:ascii="Calibri" w:hAnsi="Calibri"/>
          <w:b w:val="0"/>
          <w:i w:val="0"/>
        </w:rPr>
        <w:t>We propose a 12-week build on Next.js, Supabase, Stripe, PostHog, and a mid-tier LLM, front-loading the credibility-critical pieces (diagnostics, scoring, plan generation) and deferring polish. A closed pilot runs in weeks 10–11 to read week-3 retention before public launch in week 12. Success at launch means we can answer three questions with real numbers: trial-to-paid conversion, week-3 active retention, and CAC by channel.</w:t>
      </w:r>
    </w:p>
    <w:p>
      <w:pPr>
        <w:spacing w:before="280" w:after="80"/>
      </w:pPr>
      <w:r>
        <w:rPr>
          <w:rFonts w:ascii="Calibri" w:hAnsi="Calibri"/>
          <w:b/>
          <w:i w:val="0"/>
          <w:color w:val="1E3C6E"/>
          <w:sz w:val="28"/>
        </w:rPr>
        <w:t>What we are testing</w:t>
      </w:r>
    </w:p>
    <w:p>
      <w:pPr>
        <w:spacing w:after="160"/>
      </w:pPr>
      <w:r>
        <w:rPr>
          <w:rFonts w:ascii="Calibri" w:hAnsi="Calibri"/>
          <w:b w:val="0"/>
          <w:i w:val="0"/>
        </w:rPr>
        <w:t>Two hypotheses, in priority order:</w:t>
      </w:r>
    </w:p>
    <w:p>
      <w:pPr>
        <w:pStyle w:val="ListBullet"/>
        <w:spacing w:after="60"/>
        <w:ind w:left="340"/>
      </w:pPr>
      <w:r>
        <w:rPr>
          <w:rFonts w:ascii="Calibri" w:hAnsi="Calibri"/>
          <w:b/>
          <w:i w:val="0"/>
        </w:rPr>
        <w:t xml:space="preserve">People will pay </w:t>
      </w:r>
      <w:r>
        <w:rPr>
          <w:rFonts w:ascii="Calibri" w:hAnsi="Calibri"/>
          <w:b w:val="0"/>
          <w:i w:val="0"/>
        </w:rPr>
        <w:t>for an AI-orchestrated EPSO planner.</w:t>
      </w:r>
    </w:p>
    <w:p>
      <w:pPr>
        <w:pStyle w:val="ListBullet"/>
        <w:spacing w:after="60"/>
        <w:ind w:left="340"/>
      </w:pPr>
      <w:r>
        <w:rPr>
          <w:rFonts w:ascii="Calibri" w:hAnsi="Calibri"/>
          <w:b/>
          <w:i w:val="0"/>
        </w:rPr>
        <w:t xml:space="preserve">CAC is acceptable </w:t>
      </w:r>
      <w:r>
        <w:rPr>
          <w:rFonts w:ascii="Calibri" w:hAnsi="Calibri"/>
          <w:b w:val="0"/>
          <w:i w:val="0"/>
        </w:rPr>
        <w:t>relative to contribution margin.</w:t>
      </w:r>
    </w:p>
    <w:p>
      <w:pPr>
        <w:spacing w:after="160"/>
      </w:pPr>
      <w:r>
        <w:rPr>
          <w:rFonts w:ascii="Calibri" w:hAnsi="Calibri"/>
          <w:b w:val="0"/>
          <w:i w:val="0"/>
        </w:rPr>
        <w:t xml:space="preserve">The trap is a false positive on hypothesis 1: people convert once, churn in week two, and the team misreads copywriting as product-market fit. The signal that survives a real ad budget is </w:t>
      </w:r>
      <w:r>
        <w:rPr>
          <w:rFonts w:ascii="Calibri" w:hAnsi="Calibri"/>
          <w:b w:val="0"/>
          <w:i/>
        </w:rPr>
        <w:t>durable use</w:t>
      </w:r>
      <w:r>
        <w:rPr>
          <w:rFonts w:ascii="Calibri" w:hAnsi="Calibri"/>
          <w:b w:val="0"/>
          <w:i w:val="0"/>
        </w:rPr>
        <w:t>, not a single payment. We therefore instrument three things from day one: conversion (trial-start → paid, by channel), durability (still active in week 3), and CAC (cost per trial-start and per paid user, by channel).</w:t>
      </w:r>
    </w:p>
    <w:p>
      <w:pPr>
        <w:spacing w:before="200" w:after="60"/>
      </w:pPr>
      <w:r>
        <w:rPr>
          <w:rFonts w:ascii="Calibri" w:hAnsi="Calibri"/>
          <w:b/>
          <w:i w:val="0"/>
          <w:color w:val="282828"/>
          <w:sz w:val="24"/>
        </w:rPr>
        <w:t>Kill criteria — decided now, honored later</w:t>
      </w:r>
    </w:p>
    <w:p>
      <w:pPr>
        <w:pStyle w:val="ListBullet"/>
        <w:spacing w:after="60"/>
        <w:ind w:left="340"/>
      </w:pPr>
      <w:r>
        <w:rPr>
          <w:rFonts w:ascii="Calibri" w:hAnsi="Calibri"/>
          <w:b w:val="0"/>
          <w:i w:val="0"/>
        </w:rPr>
        <w:t>Trial → paid below ~8–10% with card-up-front: pricing or value problem.</w:t>
      </w:r>
    </w:p>
    <w:p>
      <w:pPr>
        <w:pStyle w:val="ListBullet"/>
        <w:spacing w:after="60"/>
        <w:ind w:left="340"/>
      </w:pPr>
      <w:r>
        <w:rPr>
          <w:rFonts w:ascii="Calibri" w:hAnsi="Calibri"/>
          <w:b w:val="0"/>
          <w:i w:val="0"/>
        </w:rPr>
        <w:t>Week-3 active below ~30% of paid: product is hollow; conversion was a mirage.</w:t>
      </w:r>
    </w:p>
    <w:p>
      <w:pPr>
        <w:pStyle w:val="ListBullet"/>
        <w:spacing w:after="60"/>
        <w:ind w:left="340"/>
      </w:pPr>
      <w:r>
        <w:rPr>
          <w:rFonts w:ascii="Calibri" w:hAnsi="Calibri"/>
          <w:b w:val="0"/>
          <w:i w:val="0"/>
        </w:rPr>
        <w:t>Blended CAC above 3-month contribution margin (~€50–65 at €24.99/month) with no path down: channel economics do not work.</w:t>
      </w:r>
    </w:p>
    <w:p>
      <w:pPr>
        <w:spacing w:before="280" w:after="80"/>
      </w:pPr>
      <w:r>
        <w:rPr>
          <w:rFonts w:ascii="Calibri" w:hAnsi="Calibri"/>
          <w:b/>
          <w:i w:val="0"/>
          <w:color w:val="1E3C6E"/>
          <w:sz w:val="28"/>
        </w:rPr>
        <w:t>1. MVP feature scope</w:t>
      </w:r>
    </w:p>
    <w:p>
      <w:pPr>
        <w:spacing w:after="160"/>
      </w:pPr>
      <w:r>
        <w:rPr>
          <w:rFonts w:ascii="Calibri" w:hAnsi="Calibri"/>
          <w:b w:val="0"/>
          <w:i w:val="0"/>
        </w:rPr>
        <w:t>The MVP ships eight features and excludes everything else by design. Each feature exists to support one of the three measurable signals: conversion, durability, and CAC.</w:t>
      </w:r>
    </w:p>
    <w:p>
      <w:pPr>
        <w:spacing w:before="200" w:after="60"/>
      </w:pPr>
      <w:r>
        <w:rPr>
          <w:rFonts w:ascii="Calibri" w:hAnsi="Calibri"/>
          <w:b/>
          <w:i w:val="0"/>
          <w:color w:val="282828"/>
          <w:sz w:val="24"/>
        </w:rPr>
        <w:t>1.1 Authentication and intake</w:t>
      </w:r>
    </w:p>
    <w:p>
      <w:pPr>
        <w:spacing w:after="160"/>
      </w:pPr>
      <w:r>
        <w:rPr>
          <w:rFonts w:ascii="Calibri" w:hAnsi="Calibri"/>
          <w:b w:val="0"/>
          <w:i w:val="0"/>
        </w:rPr>
        <w:t>New users sign up, upload a CV, and declare three constraints: target competition, weeks-to-exam, and weekly study hours with energy pattern. CV storage uses Supabase in the EU region for GDPR reasons. UTM parameters are captured at signup and persisted to the user record so every later event traces back to its acquisition channel.</w:t>
      </w:r>
    </w:p>
    <w:p>
      <w:pPr>
        <w:spacing w:before="200" w:after="60"/>
      </w:pPr>
      <w:r>
        <w:rPr>
          <w:rFonts w:ascii="Calibri" w:hAnsi="Calibri"/>
          <w:b/>
          <w:i w:val="0"/>
          <w:color w:val="282828"/>
          <w:sz w:val="24"/>
        </w:rPr>
        <w:t>1.2 Diagnostic engine</w:t>
      </w:r>
    </w:p>
    <w:p>
      <w:pPr>
        <w:spacing w:after="160"/>
      </w:pPr>
      <w:r>
        <w:rPr>
          <w:rFonts w:ascii="Calibri" w:hAnsi="Calibri"/>
          <w:b w:val="0"/>
          <w:i w:val="0"/>
        </w:rPr>
        <w:t>A short adaptive micro-test for verbal, numerical, and abstract reasoning, plus a brief EU-knowledge quiz. Item bank target is 15–25 calibrated items per reasoning skill. The diagnostic runs at intake to set the baseline and weekly thereafter to feed re-planning. This is the credibility core of the product.</w:t>
      </w:r>
    </w:p>
    <w:p>
      <w:pPr>
        <w:spacing w:before="200" w:after="60"/>
      </w:pPr>
      <w:r>
        <w:rPr>
          <w:rFonts w:ascii="Calibri" w:hAnsi="Calibri"/>
          <w:b/>
          <w:i w:val="0"/>
          <w:color w:val="282828"/>
          <w:sz w:val="24"/>
        </w:rPr>
        <w:t>1.3 Scoring and profile</w:t>
      </w:r>
    </w:p>
    <w:p>
      <w:pPr>
        <w:spacing w:after="160"/>
      </w:pPr>
      <w:r>
        <w:rPr>
          <w:rFonts w:ascii="Calibri" w:hAnsi="Calibri"/>
          <w:b w:val="0"/>
          <w:i w:val="0"/>
        </w:rPr>
        <w:t>Reasoning scores come from measured items, not from CV inference. The LLM scores soft dimensions only — preparation habits, test strategy, EU-knowledge breadth from the short quiz — and narrates the profile. CV-fit collapses to a one-time strategy modifier with two outputs: a percentage skew toward reasoning when fit is weak, and a go/no-go note flagging alternative competitions.</w:t>
      </w:r>
    </w:p>
    <w:p>
      <w:pPr>
        <w:spacing w:before="200" w:after="60"/>
      </w:pPr>
      <w:r>
        <w:rPr>
          <w:rFonts w:ascii="Calibri" w:hAnsi="Calibri"/>
          <w:b/>
          <w:i w:val="0"/>
          <w:color w:val="282828"/>
          <w:sz w:val="24"/>
        </w:rPr>
        <w:t>1.4 Master plan generation</w:t>
      </w:r>
    </w:p>
    <w:p>
      <w:pPr>
        <w:spacing w:after="160"/>
      </w:pPr>
      <w:r>
        <w:rPr>
          <w:rFonts w:ascii="Calibri" w:hAnsi="Calibri"/>
          <w:b w:val="0"/>
          <w:i w:val="0"/>
        </w:rPr>
        <w:t>A rule engine converts skill scores, weights, time-to-exam, and weekly hours into a per-skill weekly allocation. The LLM writes the plan rationale; numbers come from the rule engine.</w:t>
      </w:r>
    </w:p>
    <w:p>
      <w:pPr>
        <w:spacing w:before="200" w:after="60"/>
      </w:pPr>
      <w:r>
        <w:rPr>
          <w:rFonts w:ascii="Calibri" w:hAnsi="Calibri"/>
          <w:b/>
          <w:i w:val="0"/>
          <w:color w:val="282828"/>
          <w:sz w:val="24"/>
        </w:rPr>
        <w:t>1.5 Daily plan, on demand</w:t>
      </w:r>
    </w:p>
    <w:p>
      <w:pPr>
        <w:spacing w:after="160"/>
      </w:pPr>
      <w:r>
        <w:rPr>
          <w:rFonts w:ascii="Calibri" w:hAnsi="Calibri"/>
          <w:b w:val="0"/>
          <w:i w:val="0"/>
        </w:rPr>
        <w:t>The user opens the app and the plan resolves today's session against time available and energy. Output is a concrete sequence of tasks, each pointing at content the user already pays for elsewhere (EUTraining, ORSEU, EPSOready, EPSO Genius, EuropApp, books).</w:t>
      </w:r>
    </w:p>
    <w:p>
      <w:pPr>
        <w:spacing w:before="200" w:after="60"/>
      </w:pPr>
      <w:r>
        <w:rPr>
          <w:rFonts w:ascii="Calibri" w:hAnsi="Calibri"/>
          <w:b/>
          <w:i w:val="0"/>
          <w:color w:val="282828"/>
          <w:sz w:val="24"/>
        </w:rPr>
        <w:t>1.6 Logging layers A and C</w:t>
      </w:r>
    </w:p>
    <w:p>
      <w:pPr>
        <w:spacing w:after="160"/>
      </w:pPr>
      <w:r>
        <w:rPr>
          <w:rFonts w:ascii="Calibri" w:hAnsi="Calibri"/>
          <w:b w:val="0"/>
          <w:i w:val="0"/>
        </w:rPr>
        <w:t>Layer A is the weekly in-app diagnostic — load-bearing and reliable. Layer C is one-tap daily adherence: thumbs-up, partial, or cross, with optional numeric entry. Layer B (screenshot parsing) is deferred and ships only if time allows before launch. The adaptive loop never depends on B or C.</w:t>
      </w:r>
    </w:p>
    <w:p>
      <w:pPr>
        <w:spacing w:before="200" w:after="60"/>
      </w:pPr>
      <w:r>
        <w:rPr>
          <w:rFonts w:ascii="Calibri" w:hAnsi="Calibri"/>
          <w:b/>
          <w:i w:val="0"/>
          <w:color w:val="282828"/>
          <w:sz w:val="24"/>
        </w:rPr>
        <w:t>1.7 Weekly re-planning</w:t>
      </w:r>
    </w:p>
    <w:p>
      <w:pPr>
        <w:spacing w:after="160"/>
      </w:pPr>
      <w:r>
        <w:rPr>
          <w:rFonts w:ascii="Calibri" w:hAnsi="Calibri"/>
          <w:b w:val="0"/>
          <w:i w:val="0"/>
        </w:rPr>
        <w:t>Every seven days the planner re-runs against the latest diagnostic and adherence data, adjusts the per-skill allocation, and writes the next week. The user sees the diff and the reasoning.</w:t>
      </w:r>
    </w:p>
    <w:p>
      <w:pPr>
        <w:spacing w:before="200" w:after="60"/>
      </w:pPr>
      <w:r>
        <w:rPr>
          <w:rFonts w:ascii="Calibri" w:hAnsi="Calibri"/>
          <w:b/>
          <w:i w:val="0"/>
          <w:color w:val="282828"/>
          <w:sz w:val="24"/>
        </w:rPr>
        <w:t>1.8 Stripe trial, paywall, and per-channel analytics</w:t>
      </w:r>
    </w:p>
    <w:p>
      <w:pPr>
        <w:spacing w:after="160"/>
      </w:pPr>
      <w:r>
        <w:rPr>
          <w:rFonts w:ascii="Calibri" w:hAnsi="Calibri"/>
          <w:b w:val="0"/>
          <w:i w:val="0"/>
        </w:rPr>
        <w:t>Stripe Checkout with card-up-front collects a card on signup and auto-charges €24.99 on day 7. PostHog instruments the trial-start, paid-conversion, and week-3 active funnel, sliced by UTM source. This rig is the test, and it ships at launch — not after.</w:t>
      </w:r>
    </w:p>
    <w:p>
      <w:pPr>
        <w:spacing w:before="200" w:after="60"/>
      </w:pPr>
      <w:r>
        <w:rPr>
          <w:rFonts w:ascii="Calibri" w:hAnsi="Calibri"/>
          <w:b/>
          <w:i w:val="0"/>
          <w:color w:val="282828"/>
          <w:sz w:val="24"/>
        </w:rPr>
        <w:t>Out of scope for the MVP</w:t>
      </w:r>
    </w:p>
    <w:p>
      <w:pPr>
        <w:spacing w:after="160"/>
      </w:pPr>
      <w:r>
        <w:rPr>
          <w:rFonts w:ascii="Calibri" w:hAnsi="Calibri"/>
          <w:b w:val="0"/>
          <w:i w:val="0"/>
        </w:rPr>
        <w:t>Integrated question bank, podcast or NotebookLM features, general chatbot, gamification, social features, the three-month prepay tier, and multi-plan pricing. Each item belongs to a later phase and would dilute the conversion signal if shipped now.</w:t>
      </w:r>
    </w:p>
    <w:p>
      <w:pPr>
        <w:spacing w:before="280" w:after="80"/>
      </w:pPr>
      <w:r>
        <w:rPr>
          <w:rFonts w:ascii="Calibri" w:hAnsi="Calibri"/>
          <w:b/>
          <w:i w:val="0"/>
          <w:color w:val="1E3C6E"/>
          <w:sz w:val="28"/>
        </w:rPr>
        <w:t>2. How the architecture fixes the 5 risks</w:t>
      </w:r>
    </w:p>
    <w:p>
      <w:pPr>
        <w:spacing w:after="160"/>
      </w:pPr>
      <w:r>
        <w:rPr>
          <w:rFonts w:ascii="Calibri" w:hAnsi="Calibri"/>
          <w:b w:val="0"/>
          <w:i w:val="0"/>
        </w:rPr>
        <w:t>The elegant move is to make the product generate its own performance data instead of depending on the user to log it. This single decision fixes three of the five risks in the original blueprint at once.</w:t>
      </w:r>
    </w:p>
    <w:p>
      <w:pPr>
        <w:spacing w:after="120"/>
      </w:pPr>
      <w:r>
        <w:rPr>
          <w:rFonts w:ascii="Calibri" w:hAnsi="Calibri"/>
          <w:b/>
          <w:i w:val="0"/>
        </w:rPr>
        <w:t xml:space="preserve">Risk 1 — manual logging will not happen. </w:t>
      </w:r>
      <w:r>
        <w:rPr>
          <w:rFonts w:ascii="Calibri" w:hAnsi="Calibri"/>
          <w:b w:val="0"/>
          <w:i w:val="0"/>
        </w:rPr>
        <w:t>Solved by the in-app weekly micro-diagnostic as the spine of performance data. External logging becomes supplementary, not load-bearing.</w:t>
      </w:r>
    </w:p>
    <w:p>
      <w:pPr>
        <w:spacing w:after="120"/>
      </w:pPr>
      <w:r>
        <w:rPr>
          <w:rFonts w:ascii="Calibri" w:hAnsi="Calibri"/>
          <w:b/>
          <w:i w:val="0"/>
        </w:rPr>
        <w:t xml:space="preserve">Risk 2 — CV-fit weighted too high. </w:t>
      </w:r>
      <w:r>
        <w:rPr>
          <w:rFonts w:ascii="Calibri" w:hAnsi="Calibri"/>
          <w:b w:val="0"/>
          <w:i w:val="0"/>
        </w:rPr>
        <w:t>Demoted. CV-fit produces one output at intake: a strategy modifier and a go/no-go note. It is not a daily allocation driver. Daily allocation is driven by measured skill gaps.</w:t>
      </w:r>
    </w:p>
    <w:p>
      <w:pPr>
        <w:spacing w:after="120"/>
      </w:pPr>
      <w:r>
        <w:rPr>
          <w:rFonts w:ascii="Calibri" w:hAnsi="Calibri"/>
          <w:b/>
          <w:i w:val="0"/>
        </w:rPr>
        <w:t xml:space="preserve">Risk 3 — LLM CV-scoring is noisy and unvalidated. </w:t>
      </w:r>
      <w:r>
        <w:rPr>
          <w:rFonts w:ascii="Calibri" w:hAnsi="Calibri"/>
          <w:b w:val="0"/>
          <w:i w:val="0"/>
        </w:rPr>
        <w:t>We do not score reasoning skills from the CV. We score them with short in-app adaptive diagnostics at intake (real items, real % correct, real timing). The LLM scores only the soft dimensions where it is defensible.</w:t>
      </w:r>
    </w:p>
    <w:p>
      <w:pPr>
        <w:spacing w:after="120"/>
      </w:pPr>
      <w:r>
        <w:rPr>
          <w:rFonts w:ascii="Calibri" w:hAnsi="Calibri"/>
          <w:b/>
          <w:i w:val="0"/>
        </w:rPr>
        <w:t xml:space="preserve">Risk 4 — September deadline pressure. </w:t>
      </w:r>
      <w:r>
        <w:rPr>
          <w:rFonts w:ascii="Calibri" w:hAnsi="Calibri"/>
          <w:b w:val="0"/>
          <w:i w:val="0"/>
        </w:rPr>
        <w:t>The build sequence front-loads the credibility-critical pieces (diagnostics, scoring, plan generation) and defers polish. Re-planning ships before the soft features.</w:t>
      </w:r>
    </w:p>
    <w:p>
      <w:pPr>
        <w:spacing w:after="120"/>
      </w:pPr>
      <w:r>
        <w:rPr>
          <w:rFonts w:ascii="Calibri" w:hAnsi="Calibri"/>
          <w:b/>
          <w:i w:val="0"/>
        </w:rPr>
        <w:t xml:space="preserve">Risk 5 — thin defensibility. </w:t>
      </w:r>
      <w:r>
        <w:rPr>
          <w:rFonts w:ascii="Calibri" w:hAnsi="Calibri"/>
          <w:b w:val="0"/>
          <w:i w:val="0"/>
        </w:rPr>
        <w:t>The data moat is real only because performance data is captured in-product (Risk 1's fix). Scattered external logs cannot be a moat; a growing per-user record of measured skill trajectories can.</w:t>
      </w:r>
    </w:p>
    <w:p>
      <w:pPr>
        <w:spacing w:before="280" w:after="80"/>
      </w:pPr>
      <w:r>
        <w:rPr>
          <w:rFonts w:ascii="Calibri" w:hAnsi="Calibri"/>
          <w:b/>
          <w:i w:val="0"/>
          <w:color w:val="1E3C6E"/>
          <w:sz w:val="28"/>
        </w:rPr>
        <w:t>3. Build plan — 12 weeks to mid-September</w:t>
      </w:r>
    </w:p>
    <w:p>
      <w:pPr>
        <w:spacing w:after="160"/>
      </w:pPr>
      <w:r>
        <w:rPr>
          <w:rFonts w:ascii="Calibri" w:hAnsi="Calibri"/>
          <w:b w:val="0"/>
          <w:i w:val="0"/>
        </w:rPr>
        <w:t>We pair-code each feature in sessions, with Giovanni driving and Claude scoping, scaffolding, and reviewing. The sequence below front-loads the credibility-critical pieces and defers polish. We deploy to Vercel from week 1 so every change is observable in production behavior, not only on localhost.</w:t>
      </w:r>
    </w:p>
    <w:tbl>
      <w:tblPr>
        <w:tblW w:type="auto" w:w="0"/>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3249"/>
        <w:gridCol w:w="3249"/>
        <w:gridCol w:w="3249"/>
      </w:tblGrid>
      <w:tr>
        <w:tc>
          <w:tcPr>
            <w:tcW w:type="dxa" w:w="737"/>
            <w:shd w:val="clear" w:color="auto" w:fill="1E3C6E"/>
            <w:vAlign w:val="center"/>
          </w:tcPr>
          <w:p>
            <w:pPr>
              <w:spacing w:after="0"/>
            </w:pPr>
            <w:r/>
            <w:r>
              <w:rPr>
                <w:rFonts w:ascii="Calibri" w:hAnsi="Calibri"/>
                <w:b/>
                <w:i w:val="0"/>
                <w:color w:val="FFFFFF"/>
                <w:sz w:val="20"/>
              </w:rPr>
              <w:t>Week</w:t>
            </w:r>
          </w:p>
        </w:tc>
        <w:tc>
          <w:tcPr>
            <w:tcW w:type="dxa" w:w="2268"/>
            <w:shd w:val="clear" w:color="auto" w:fill="1E3C6E"/>
            <w:vAlign w:val="center"/>
          </w:tcPr>
          <w:p>
            <w:pPr>
              <w:spacing w:after="0"/>
            </w:pPr>
            <w:r/>
            <w:r>
              <w:rPr>
                <w:rFonts w:ascii="Calibri" w:hAnsi="Calibri"/>
                <w:b/>
                <w:i w:val="0"/>
                <w:color w:val="FFFFFF"/>
                <w:sz w:val="20"/>
              </w:rPr>
              <w:t>Focus</w:t>
            </w:r>
          </w:p>
        </w:tc>
        <w:tc>
          <w:tcPr>
            <w:tcW w:type="dxa" w:w="6520"/>
            <w:shd w:val="clear" w:color="auto" w:fill="1E3C6E"/>
            <w:vAlign w:val="center"/>
          </w:tcPr>
          <w:p>
            <w:pPr>
              <w:spacing w:after="0"/>
            </w:pPr>
            <w:r/>
            <w:r>
              <w:rPr>
                <w:rFonts w:ascii="Calibri" w:hAnsi="Calibri"/>
                <w:b/>
                <w:i w:val="0"/>
                <w:color w:val="FFFFFF"/>
                <w:sz w:val="20"/>
              </w:rPr>
              <w:t>Output by end of week</w:t>
            </w:r>
          </w:p>
        </w:tc>
      </w:tr>
      <w:tr>
        <w:tc>
          <w:tcPr>
            <w:tcW w:type="dxa" w:w="737"/>
            <w:vAlign w:val="center"/>
          </w:tcPr>
          <w:p>
            <w:pPr>
              <w:spacing w:after="0"/>
            </w:pPr>
            <w:r/>
            <w:r>
              <w:rPr>
                <w:rFonts w:ascii="Calibri" w:hAnsi="Calibri"/>
                <w:b w:val="0"/>
                <w:i w:val="0"/>
                <w:sz w:val="20"/>
              </w:rPr>
              <w:t>1</w:t>
            </w:r>
          </w:p>
        </w:tc>
        <w:tc>
          <w:tcPr>
            <w:tcW w:type="dxa" w:w="2268"/>
            <w:vAlign w:val="center"/>
          </w:tcPr>
          <w:p>
            <w:pPr>
              <w:spacing w:after="0"/>
            </w:pPr>
            <w:r/>
            <w:r>
              <w:rPr>
                <w:rFonts w:ascii="Calibri" w:hAnsi="Calibri"/>
                <w:b w:val="0"/>
                <w:i w:val="0"/>
                <w:sz w:val="20"/>
              </w:rPr>
              <w:t>Foundations</w:t>
            </w:r>
          </w:p>
        </w:tc>
        <w:tc>
          <w:tcPr>
            <w:tcW w:type="dxa" w:w="6520"/>
            <w:vAlign w:val="center"/>
          </w:tcPr>
          <w:p>
            <w:pPr>
              <w:spacing w:after="0"/>
            </w:pPr>
            <w:r/>
            <w:r>
              <w:rPr>
                <w:rFonts w:ascii="Calibri" w:hAnsi="Calibri"/>
                <w:b w:val="0"/>
                <w:i w:val="0"/>
                <w:sz w:val="20"/>
              </w:rPr>
              <w:t>Next.js project, Supabase schema, auth, PostHog wired, UTM capture live</w:t>
            </w:r>
          </w:p>
        </w:tc>
      </w:tr>
      <w:tr>
        <w:tc>
          <w:tcPr>
            <w:tcW w:type="dxa" w:w="737"/>
            <w:shd w:val="clear" w:color="auto" w:fill="F2F4F8"/>
            <w:vAlign w:val="center"/>
          </w:tcPr>
          <w:p>
            <w:pPr>
              <w:spacing w:after="0"/>
            </w:pPr>
            <w:r/>
            <w:r>
              <w:rPr>
                <w:rFonts w:ascii="Calibri" w:hAnsi="Calibri"/>
                <w:b w:val="0"/>
                <w:i w:val="0"/>
                <w:sz w:val="20"/>
              </w:rPr>
              <w:t>2</w:t>
            </w:r>
          </w:p>
        </w:tc>
        <w:tc>
          <w:tcPr>
            <w:tcW w:type="dxa" w:w="2268"/>
            <w:shd w:val="clear" w:color="auto" w:fill="F2F4F8"/>
            <w:vAlign w:val="center"/>
          </w:tcPr>
          <w:p>
            <w:pPr>
              <w:spacing w:after="0"/>
            </w:pPr>
            <w:r/>
            <w:r>
              <w:rPr>
                <w:rFonts w:ascii="Calibri" w:hAnsi="Calibri"/>
                <w:b w:val="0"/>
                <w:i w:val="0"/>
                <w:sz w:val="20"/>
              </w:rPr>
              <w:t>Intake</w:t>
            </w:r>
          </w:p>
        </w:tc>
        <w:tc>
          <w:tcPr>
            <w:tcW w:type="dxa" w:w="6520"/>
            <w:shd w:val="clear" w:color="auto" w:fill="F2F4F8"/>
            <w:vAlign w:val="center"/>
          </w:tcPr>
          <w:p>
            <w:pPr>
              <w:spacing w:after="0"/>
            </w:pPr>
            <w:r/>
            <w:r>
              <w:rPr>
                <w:rFonts w:ascii="Calibri" w:hAnsi="Calibri"/>
                <w:b w:val="0"/>
                <w:i w:val="0"/>
                <w:sz w:val="20"/>
              </w:rPr>
              <w:t>Onboarding flow, CV upload, constraints captured, profile record persisted</w:t>
            </w:r>
          </w:p>
        </w:tc>
      </w:tr>
      <w:tr>
        <w:tc>
          <w:tcPr>
            <w:tcW w:type="dxa" w:w="737"/>
            <w:vAlign w:val="center"/>
          </w:tcPr>
          <w:p>
            <w:pPr>
              <w:spacing w:after="0"/>
            </w:pPr>
            <w:r/>
            <w:r>
              <w:rPr>
                <w:rFonts w:ascii="Calibri" w:hAnsi="Calibri"/>
                <w:b w:val="0"/>
                <w:i w:val="0"/>
                <w:sz w:val="20"/>
              </w:rPr>
              <w:t>3</w:t>
            </w:r>
          </w:p>
        </w:tc>
        <w:tc>
          <w:tcPr>
            <w:tcW w:type="dxa" w:w="2268"/>
            <w:vAlign w:val="center"/>
          </w:tcPr>
          <w:p>
            <w:pPr>
              <w:spacing w:after="0"/>
            </w:pPr>
            <w:r/>
            <w:r>
              <w:rPr>
                <w:rFonts w:ascii="Calibri" w:hAnsi="Calibri"/>
                <w:b w:val="0"/>
                <w:i w:val="0"/>
                <w:sz w:val="20"/>
              </w:rPr>
              <w:t>Diagnostic engine I</w:t>
            </w:r>
          </w:p>
        </w:tc>
        <w:tc>
          <w:tcPr>
            <w:tcW w:type="dxa" w:w="6520"/>
            <w:vAlign w:val="center"/>
          </w:tcPr>
          <w:p>
            <w:pPr>
              <w:spacing w:after="0"/>
            </w:pPr>
            <w:r/>
            <w:r>
              <w:rPr>
                <w:rFonts w:ascii="Calibri" w:hAnsi="Calibri"/>
                <w:b w:val="0"/>
                <w:i w:val="0"/>
                <w:sz w:val="20"/>
              </w:rPr>
              <w:t>Adaptive logic, item delivery, response capture, scoring math</w:t>
            </w:r>
          </w:p>
        </w:tc>
      </w:tr>
      <w:tr>
        <w:tc>
          <w:tcPr>
            <w:tcW w:type="dxa" w:w="737"/>
            <w:shd w:val="clear" w:color="auto" w:fill="F2F4F8"/>
            <w:vAlign w:val="center"/>
          </w:tcPr>
          <w:p>
            <w:pPr>
              <w:spacing w:after="0"/>
            </w:pPr>
            <w:r/>
            <w:r>
              <w:rPr>
                <w:rFonts w:ascii="Calibri" w:hAnsi="Calibri"/>
                <w:b w:val="0"/>
                <w:i w:val="0"/>
                <w:sz w:val="20"/>
              </w:rPr>
              <w:t>4</w:t>
            </w:r>
          </w:p>
        </w:tc>
        <w:tc>
          <w:tcPr>
            <w:tcW w:type="dxa" w:w="2268"/>
            <w:shd w:val="clear" w:color="auto" w:fill="F2F4F8"/>
            <w:vAlign w:val="center"/>
          </w:tcPr>
          <w:p>
            <w:pPr>
              <w:spacing w:after="0"/>
            </w:pPr>
            <w:r/>
            <w:r>
              <w:rPr>
                <w:rFonts w:ascii="Calibri" w:hAnsi="Calibri"/>
                <w:b w:val="0"/>
                <w:i w:val="0"/>
                <w:sz w:val="20"/>
              </w:rPr>
              <w:t>Diagnostic engine II</w:t>
            </w:r>
          </w:p>
        </w:tc>
        <w:tc>
          <w:tcPr>
            <w:tcW w:type="dxa" w:w="6520"/>
            <w:shd w:val="clear" w:color="auto" w:fill="F2F4F8"/>
            <w:vAlign w:val="center"/>
          </w:tcPr>
          <w:p>
            <w:pPr>
              <w:spacing w:after="0"/>
            </w:pPr>
            <w:r/>
            <w:r>
              <w:rPr>
                <w:rFonts w:ascii="Calibri" w:hAnsi="Calibri"/>
                <w:b w:val="0"/>
                <w:i w:val="0"/>
                <w:sz w:val="20"/>
              </w:rPr>
              <w:t>First item sets sourced and entered for verbal, numerical, abstract, EU</w:t>
            </w:r>
          </w:p>
        </w:tc>
      </w:tr>
      <w:tr>
        <w:tc>
          <w:tcPr>
            <w:tcW w:type="dxa" w:w="737"/>
            <w:vAlign w:val="center"/>
          </w:tcPr>
          <w:p>
            <w:pPr>
              <w:spacing w:after="0"/>
            </w:pPr>
            <w:r/>
            <w:r>
              <w:rPr>
                <w:rFonts w:ascii="Calibri" w:hAnsi="Calibri"/>
                <w:b w:val="0"/>
                <w:i w:val="0"/>
                <w:sz w:val="20"/>
              </w:rPr>
              <w:t>5</w:t>
            </w:r>
          </w:p>
        </w:tc>
        <w:tc>
          <w:tcPr>
            <w:tcW w:type="dxa" w:w="2268"/>
            <w:vAlign w:val="center"/>
          </w:tcPr>
          <w:p>
            <w:pPr>
              <w:spacing w:after="0"/>
            </w:pPr>
            <w:r/>
            <w:r>
              <w:rPr>
                <w:rFonts w:ascii="Calibri" w:hAnsi="Calibri"/>
                <w:b w:val="0"/>
                <w:i w:val="0"/>
                <w:sz w:val="20"/>
              </w:rPr>
              <w:t>Scoring and profile</w:t>
            </w:r>
          </w:p>
        </w:tc>
        <w:tc>
          <w:tcPr>
            <w:tcW w:type="dxa" w:w="6520"/>
            <w:vAlign w:val="center"/>
          </w:tcPr>
          <w:p>
            <w:pPr>
              <w:spacing w:after="0"/>
            </w:pPr>
            <w:r/>
            <w:r>
              <w:rPr>
                <w:rFonts w:ascii="Calibri" w:hAnsi="Calibri"/>
                <w:b w:val="0"/>
                <w:i w:val="0"/>
                <w:sz w:val="20"/>
              </w:rPr>
              <w:t>Profile visualization, LLM-scored soft dimensions, CV-fit modifier</w:t>
            </w:r>
          </w:p>
        </w:tc>
      </w:tr>
      <w:tr>
        <w:tc>
          <w:tcPr>
            <w:tcW w:type="dxa" w:w="737"/>
            <w:shd w:val="clear" w:color="auto" w:fill="F2F4F8"/>
            <w:vAlign w:val="center"/>
          </w:tcPr>
          <w:p>
            <w:pPr>
              <w:spacing w:after="0"/>
            </w:pPr>
            <w:r/>
            <w:r>
              <w:rPr>
                <w:rFonts w:ascii="Calibri" w:hAnsi="Calibri"/>
                <w:b w:val="0"/>
                <w:i w:val="0"/>
                <w:sz w:val="20"/>
              </w:rPr>
              <w:t>6</w:t>
            </w:r>
          </w:p>
        </w:tc>
        <w:tc>
          <w:tcPr>
            <w:tcW w:type="dxa" w:w="2268"/>
            <w:shd w:val="clear" w:color="auto" w:fill="F2F4F8"/>
            <w:vAlign w:val="center"/>
          </w:tcPr>
          <w:p>
            <w:pPr>
              <w:spacing w:after="0"/>
            </w:pPr>
            <w:r/>
            <w:r>
              <w:rPr>
                <w:rFonts w:ascii="Calibri" w:hAnsi="Calibri"/>
                <w:b w:val="0"/>
                <w:i w:val="0"/>
                <w:sz w:val="20"/>
              </w:rPr>
              <w:t>Master plan</w:t>
            </w:r>
          </w:p>
        </w:tc>
        <w:tc>
          <w:tcPr>
            <w:tcW w:type="dxa" w:w="6520"/>
            <w:shd w:val="clear" w:color="auto" w:fill="F2F4F8"/>
            <w:vAlign w:val="center"/>
          </w:tcPr>
          <w:p>
            <w:pPr>
              <w:spacing w:after="0"/>
            </w:pPr>
            <w:r/>
            <w:r>
              <w:rPr>
                <w:rFonts w:ascii="Calibri" w:hAnsi="Calibri"/>
                <w:b w:val="0"/>
                <w:i w:val="0"/>
                <w:sz w:val="20"/>
              </w:rPr>
              <w:t>Rule engine for per-skill weekly allocation, plan rationale generation</w:t>
            </w:r>
          </w:p>
        </w:tc>
      </w:tr>
      <w:tr>
        <w:tc>
          <w:tcPr>
            <w:tcW w:type="dxa" w:w="737"/>
            <w:vAlign w:val="center"/>
          </w:tcPr>
          <w:p>
            <w:pPr>
              <w:spacing w:after="0"/>
            </w:pPr>
            <w:r/>
            <w:r>
              <w:rPr>
                <w:rFonts w:ascii="Calibri" w:hAnsi="Calibri"/>
                <w:b w:val="0"/>
                <w:i w:val="0"/>
                <w:sz w:val="20"/>
              </w:rPr>
              <w:t>7</w:t>
            </w:r>
          </w:p>
        </w:tc>
        <w:tc>
          <w:tcPr>
            <w:tcW w:type="dxa" w:w="2268"/>
            <w:vAlign w:val="center"/>
          </w:tcPr>
          <w:p>
            <w:pPr>
              <w:spacing w:after="0"/>
            </w:pPr>
            <w:r/>
            <w:r>
              <w:rPr>
                <w:rFonts w:ascii="Calibri" w:hAnsi="Calibri"/>
                <w:b w:val="0"/>
                <w:i w:val="0"/>
                <w:sz w:val="20"/>
              </w:rPr>
              <w:t>Daily plan</w:t>
            </w:r>
          </w:p>
        </w:tc>
        <w:tc>
          <w:tcPr>
            <w:tcW w:type="dxa" w:w="6520"/>
            <w:vAlign w:val="center"/>
          </w:tcPr>
          <w:p>
            <w:pPr>
              <w:spacing w:after="0"/>
            </w:pPr>
            <w:r/>
            <w:r>
              <w:rPr>
                <w:rFonts w:ascii="Calibri" w:hAnsi="Calibri"/>
                <w:b w:val="0"/>
                <w:i w:val="0"/>
                <w:sz w:val="20"/>
              </w:rPr>
              <w:t>Daily session resolver, content references, plan rendering</w:t>
            </w:r>
          </w:p>
        </w:tc>
      </w:tr>
      <w:tr>
        <w:tc>
          <w:tcPr>
            <w:tcW w:type="dxa" w:w="737"/>
            <w:shd w:val="clear" w:color="auto" w:fill="F2F4F8"/>
            <w:vAlign w:val="center"/>
          </w:tcPr>
          <w:p>
            <w:pPr>
              <w:spacing w:after="0"/>
            </w:pPr>
            <w:r/>
            <w:r>
              <w:rPr>
                <w:rFonts w:ascii="Calibri" w:hAnsi="Calibri"/>
                <w:b w:val="0"/>
                <w:i w:val="0"/>
                <w:sz w:val="20"/>
              </w:rPr>
              <w:t>8</w:t>
            </w:r>
          </w:p>
        </w:tc>
        <w:tc>
          <w:tcPr>
            <w:tcW w:type="dxa" w:w="2268"/>
            <w:shd w:val="clear" w:color="auto" w:fill="F2F4F8"/>
            <w:vAlign w:val="center"/>
          </w:tcPr>
          <w:p>
            <w:pPr>
              <w:spacing w:after="0"/>
            </w:pPr>
            <w:r/>
            <w:r>
              <w:rPr>
                <w:rFonts w:ascii="Calibri" w:hAnsi="Calibri"/>
                <w:b w:val="0"/>
                <w:i w:val="0"/>
                <w:sz w:val="20"/>
              </w:rPr>
              <w:t>Logging and re-planning</w:t>
            </w:r>
          </w:p>
        </w:tc>
        <w:tc>
          <w:tcPr>
            <w:tcW w:type="dxa" w:w="6520"/>
            <w:shd w:val="clear" w:color="auto" w:fill="F2F4F8"/>
            <w:vAlign w:val="center"/>
          </w:tcPr>
          <w:p>
            <w:pPr>
              <w:spacing w:after="0"/>
            </w:pPr>
            <w:r/>
            <w:r>
              <w:rPr>
                <w:rFonts w:ascii="Calibri" w:hAnsi="Calibri"/>
                <w:b w:val="0"/>
                <w:i w:val="0"/>
                <w:sz w:val="20"/>
              </w:rPr>
              <w:t>Weekly diagnostic loop, daily adherence, re-planning logic</w:t>
            </w:r>
          </w:p>
        </w:tc>
      </w:tr>
      <w:tr>
        <w:tc>
          <w:tcPr>
            <w:tcW w:type="dxa" w:w="737"/>
            <w:vAlign w:val="center"/>
          </w:tcPr>
          <w:p>
            <w:pPr>
              <w:spacing w:after="0"/>
            </w:pPr>
            <w:r/>
            <w:r>
              <w:rPr>
                <w:rFonts w:ascii="Calibri" w:hAnsi="Calibri"/>
                <w:b w:val="0"/>
                <w:i w:val="0"/>
                <w:sz w:val="20"/>
              </w:rPr>
              <w:t>9</w:t>
            </w:r>
          </w:p>
        </w:tc>
        <w:tc>
          <w:tcPr>
            <w:tcW w:type="dxa" w:w="2268"/>
            <w:vAlign w:val="center"/>
          </w:tcPr>
          <w:p>
            <w:pPr>
              <w:spacing w:after="0"/>
            </w:pPr>
            <w:r/>
            <w:r>
              <w:rPr>
                <w:rFonts w:ascii="Calibri" w:hAnsi="Calibri"/>
                <w:b w:val="0"/>
                <w:i w:val="0"/>
                <w:sz w:val="20"/>
              </w:rPr>
              <w:t>Payments</w:t>
            </w:r>
          </w:p>
        </w:tc>
        <w:tc>
          <w:tcPr>
            <w:tcW w:type="dxa" w:w="6520"/>
            <w:vAlign w:val="center"/>
          </w:tcPr>
          <w:p>
            <w:pPr>
              <w:spacing w:after="0"/>
            </w:pPr>
            <w:r/>
            <w:r>
              <w:rPr>
                <w:rFonts w:ascii="Calibri" w:hAnsi="Calibri"/>
                <w:b w:val="0"/>
                <w:i w:val="0"/>
                <w:sz w:val="20"/>
              </w:rPr>
              <w:t>Stripe Checkout, card-up-front trial, paywall, conversion funnel events</w:t>
            </w:r>
          </w:p>
        </w:tc>
      </w:tr>
      <w:tr>
        <w:tc>
          <w:tcPr>
            <w:tcW w:type="dxa" w:w="737"/>
            <w:shd w:val="clear" w:color="auto" w:fill="F2F4F8"/>
            <w:vAlign w:val="center"/>
          </w:tcPr>
          <w:p>
            <w:pPr>
              <w:spacing w:after="0"/>
            </w:pPr>
            <w:r/>
            <w:r>
              <w:rPr>
                <w:rFonts w:ascii="Calibri" w:hAnsi="Calibri"/>
                <w:b w:val="0"/>
                <w:i w:val="0"/>
                <w:sz w:val="20"/>
              </w:rPr>
              <w:t>10</w:t>
            </w:r>
          </w:p>
        </w:tc>
        <w:tc>
          <w:tcPr>
            <w:tcW w:type="dxa" w:w="2268"/>
            <w:shd w:val="clear" w:color="auto" w:fill="F2F4F8"/>
            <w:vAlign w:val="center"/>
          </w:tcPr>
          <w:p>
            <w:pPr>
              <w:spacing w:after="0"/>
            </w:pPr>
            <w:r/>
            <w:r>
              <w:rPr>
                <w:rFonts w:ascii="Calibri" w:hAnsi="Calibri"/>
                <w:b w:val="0"/>
                <w:i w:val="0"/>
                <w:sz w:val="20"/>
              </w:rPr>
              <w:t>Closed pilot I</w:t>
            </w:r>
          </w:p>
        </w:tc>
        <w:tc>
          <w:tcPr>
            <w:tcW w:type="dxa" w:w="6520"/>
            <w:shd w:val="clear" w:color="auto" w:fill="F2F4F8"/>
            <w:vAlign w:val="center"/>
          </w:tcPr>
          <w:p>
            <w:pPr>
              <w:spacing w:after="0"/>
            </w:pPr>
            <w:r/>
            <w:r>
              <w:rPr>
                <w:rFonts w:ascii="Calibri" w:hAnsi="Calibri"/>
                <w:b w:val="0"/>
                <w:i w:val="0"/>
                <w:sz w:val="20"/>
              </w:rPr>
              <w:t>Recruit 10–30 pilot users, ship onboarding fixes from observation</w:t>
            </w:r>
          </w:p>
        </w:tc>
      </w:tr>
      <w:tr>
        <w:tc>
          <w:tcPr>
            <w:tcW w:type="dxa" w:w="737"/>
            <w:vAlign w:val="center"/>
          </w:tcPr>
          <w:p>
            <w:pPr>
              <w:spacing w:after="0"/>
            </w:pPr>
            <w:r/>
            <w:r>
              <w:rPr>
                <w:rFonts w:ascii="Calibri" w:hAnsi="Calibri"/>
                <w:b w:val="0"/>
                <w:i w:val="0"/>
                <w:sz w:val="20"/>
              </w:rPr>
              <w:t>11</w:t>
            </w:r>
          </w:p>
        </w:tc>
        <w:tc>
          <w:tcPr>
            <w:tcW w:type="dxa" w:w="2268"/>
            <w:vAlign w:val="center"/>
          </w:tcPr>
          <w:p>
            <w:pPr>
              <w:spacing w:after="0"/>
            </w:pPr>
            <w:r/>
            <w:r>
              <w:rPr>
                <w:rFonts w:ascii="Calibri" w:hAnsi="Calibri"/>
                <w:b w:val="0"/>
                <w:i w:val="0"/>
                <w:sz w:val="20"/>
              </w:rPr>
              <w:t>Closed pilot II</w:t>
            </w:r>
          </w:p>
        </w:tc>
        <w:tc>
          <w:tcPr>
            <w:tcW w:type="dxa" w:w="6520"/>
            <w:vAlign w:val="center"/>
          </w:tcPr>
          <w:p>
            <w:pPr>
              <w:spacing w:after="0"/>
            </w:pPr>
            <w:r/>
            <w:r>
              <w:rPr>
                <w:rFonts w:ascii="Calibri" w:hAnsi="Calibri"/>
                <w:b w:val="0"/>
                <w:i w:val="0"/>
                <w:sz w:val="20"/>
              </w:rPr>
              <w:t>Read week-3 retention, fix the largest drop-off</w:t>
            </w:r>
          </w:p>
        </w:tc>
      </w:tr>
      <w:tr>
        <w:tc>
          <w:tcPr>
            <w:tcW w:type="dxa" w:w="737"/>
            <w:shd w:val="clear" w:color="auto" w:fill="F2F4F8"/>
            <w:vAlign w:val="center"/>
          </w:tcPr>
          <w:p>
            <w:pPr>
              <w:spacing w:after="0"/>
            </w:pPr>
            <w:r/>
            <w:r>
              <w:rPr>
                <w:rFonts w:ascii="Calibri" w:hAnsi="Calibri"/>
                <w:b w:val="0"/>
                <w:i w:val="0"/>
                <w:sz w:val="20"/>
              </w:rPr>
              <w:t>12</w:t>
            </w:r>
          </w:p>
        </w:tc>
        <w:tc>
          <w:tcPr>
            <w:tcW w:type="dxa" w:w="2268"/>
            <w:shd w:val="clear" w:color="auto" w:fill="F2F4F8"/>
            <w:vAlign w:val="center"/>
          </w:tcPr>
          <w:p>
            <w:pPr>
              <w:spacing w:after="0"/>
            </w:pPr>
            <w:r/>
            <w:r>
              <w:rPr>
                <w:rFonts w:ascii="Calibri" w:hAnsi="Calibri"/>
                <w:b w:val="0"/>
                <w:i w:val="0"/>
                <w:sz w:val="20"/>
              </w:rPr>
              <w:t>Public launch</w:t>
            </w:r>
          </w:p>
        </w:tc>
        <w:tc>
          <w:tcPr>
            <w:tcW w:type="dxa" w:w="6520"/>
            <w:shd w:val="clear" w:color="auto" w:fill="F2F4F8"/>
            <w:vAlign w:val="center"/>
          </w:tcPr>
          <w:p>
            <w:pPr>
              <w:spacing w:after="0"/>
            </w:pPr>
            <w:r/>
            <w:r>
              <w:rPr>
                <w:rFonts w:ascii="Calibri" w:hAnsi="Calibri"/>
                <w:b w:val="0"/>
                <w:i w:val="0"/>
                <w:sz w:val="20"/>
              </w:rPr>
              <w:t>Public launch for AD5/AD7 wave, paid acquisition channels live</w:t>
            </w:r>
          </w:p>
        </w:tc>
      </w:tr>
    </w:tbl>
    <w:p>
      <w:pPr>
        <w:spacing w:after="120"/>
      </w:pPr>
    </w:p>
    <w:p>
      <w:pPr>
        <w:spacing w:before="200" w:after="60"/>
      </w:pPr>
      <w:r>
        <w:rPr>
          <w:rFonts w:ascii="Calibri" w:hAnsi="Calibri"/>
          <w:b/>
          <w:i w:val="0"/>
          <w:color w:val="282828"/>
          <w:sz w:val="24"/>
        </w:rPr>
        <w:t>Tech stack</w:t>
      </w:r>
    </w:p>
    <w:p>
      <w:pPr>
        <w:pStyle w:val="ListBullet"/>
        <w:spacing w:after="60"/>
        <w:ind w:left="340"/>
      </w:pPr>
      <w:r>
        <w:rPr>
          <w:rFonts w:ascii="Calibri" w:hAnsi="Calibri"/>
          <w:b/>
          <w:i w:val="0"/>
        </w:rPr>
        <w:t xml:space="preserve">Front-end. </w:t>
      </w:r>
      <w:r>
        <w:rPr>
          <w:rFonts w:ascii="Calibri" w:hAnsi="Calibri"/>
          <w:b w:val="0"/>
          <w:i w:val="0"/>
        </w:rPr>
        <w:t>Next.js (App Router) and Tailwind. Single codebase, fast to iterate.</w:t>
      </w:r>
    </w:p>
    <w:p>
      <w:pPr>
        <w:pStyle w:val="ListBullet"/>
        <w:spacing w:after="60"/>
        <w:ind w:left="340"/>
      </w:pPr>
      <w:r>
        <w:rPr>
          <w:rFonts w:ascii="Calibri" w:hAnsi="Calibri"/>
          <w:b/>
          <w:i w:val="0"/>
        </w:rPr>
        <w:t xml:space="preserve">Back-end. </w:t>
      </w:r>
      <w:r>
        <w:rPr>
          <w:rFonts w:ascii="Calibri" w:hAnsi="Calibri"/>
          <w:b w:val="0"/>
          <w:i w:val="0"/>
        </w:rPr>
        <w:t>Next.js API routes to start; thin FastAPI service later if we need it. Avoids a second deploy target.</w:t>
      </w:r>
    </w:p>
    <w:p>
      <w:pPr>
        <w:pStyle w:val="ListBullet"/>
        <w:spacing w:after="60"/>
        <w:ind w:left="340"/>
      </w:pPr>
      <w:r>
        <w:rPr>
          <w:rFonts w:ascii="Calibri" w:hAnsi="Calibri"/>
          <w:b/>
          <w:i w:val="0"/>
        </w:rPr>
        <w:t xml:space="preserve">Database and auth. </w:t>
      </w:r>
      <w:r>
        <w:rPr>
          <w:rFonts w:ascii="Calibri" w:hAnsi="Calibri"/>
          <w:b w:val="0"/>
          <w:i w:val="0"/>
        </w:rPr>
        <w:t>Supabase (Postgres, auth, file storage for CVs) in the EU region.</w:t>
      </w:r>
    </w:p>
    <w:p>
      <w:pPr>
        <w:pStyle w:val="ListBullet"/>
        <w:spacing w:after="60"/>
        <w:ind w:left="340"/>
      </w:pPr>
      <w:r>
        <w:rPr>
          <w:rFonts w:ascii="Calibri" w:hAnsi="Calibri"/>
          <w:b/>
          <w:i w:val="0"/>
        </w:rPr>
        <w:t xml:space="preserve">Payments. </w:t>
      </w:r>
      <w:r>
        <w:rPr>
          <w:rFonts w:ascii="Calibri" w:hAnsi="Calibri"/>
          <w:b w:val="0"/>
          <w:i w:val="0"/>
        </w:rPr>
        <w:t>Stripe Checkout and Billing, with card-up-front trial logic.</w:t>
      </w:r>
    </w:p>
    <w:p>
      <w:pPr>
        <w:pStyle w:val="ListBullet"/>
        <w:spacing w:after="60"/>
        <w:ind w:left="340"/>
      </w:pPr>
      <w:r>
        <w:rPr>
          <w:rFonts w:ascii="Calibri" w:hAnsi="Calibri"/>
          <w:b/>
          <w:i w:val="0"/>
        </w:rPr>
        <w:t xml:space="preserve">LLM. </w:t>
      </w:r>
      <w:r>
        <w:rPr>
          <w:rFonts w:ascii="Calibri" w:hAnsi="Calibri"/>
          <w:b w:val="0"/>
          <w:i w:val="0"/>
        </w:rPr>
        <w:t>Mid-tier model. All calls wrapped in typed functions with JSON-schema validation and logging. Projected cost ~€1–2/user/3 months.</w:t>
      </w:r>
    </w:p>
    <w:p>
      <w:pPr>
        <w:pStyle w:val="ListBullet"/>
        <w:spacing w:after="60"/>
        <w:ind w:left="340"/>
      </w:pPr>
      <w:r>
        <w:rPr>
          <w:rFonts w:ascii="Calibri" w:hAnsi="Calibri"/>
          <w:b/>
          <w:i w:val="0"/>
        </w:rPr>
        <w:t xml:space="preserve">Analytics. </w:t>
      </w:r>
      <w:r>
        <w:rPr>
          <w:rFonts w:ascii="Calibri" w:hAnsi="Calibri"/>
          <w:b w:val="0"/>
          <w:i w:val="0"/>
        </w:rPr>
        <w:t>PostHog for funnels, retention cohorts, and UTM capture.</w:t>
      </w:r>
    </w:p>
    <w:p>
      <w:pPr>
        <w:pStyle w:val="ListBullet"/>
        <w:spacing w:after="60"/>
        <w:ind w:left="340"/>
      </w:pPr>
      <w:r>
        <w:rPr>
          <w:rFonts w:ascii="Calibri" w:hAnsi="Calibri"/>
          <w:b/>
          <w:i w:val="0"/>
        </w:rPr>
        <w:t xml:space="preserve">Hosting. </w:t>
      </w:r>
      <w:r>
        <w:rPr>
          <w:rFonts w:ascii="Calibri" w:hAnsi="Calibri"/>
          <w:b w:val="0"/>
          <w:i w:val="0"/>
        </w:rPr>
        <w:t>Vercel and Supabase. Minimal ops.</w:t>
      </w:r>
    </w:p>
    <w:p>
      <w:pPr>
        <w:spacing w:before="200" w:after="60"/>
      </w:pPr>
      <w:r>
        <w:rPr>
          <w:rFonts w:ascii="Calibri" w:hAnsi="Calibri"/>
          <w:b/>
          <w:i w:val="0"/>
          <w:color w:val="282828"/>
          <w:sz w:val="24"/>
        </w:rPr>
        <w:t>How we work each session</w:t>
      </w:r>
    </w:p>
    <w:p>
      <w:pPr>
        <w:spacing w:after="160"/>
      </w:pPr>
      <w:r>
        <w:rPr>
          <w:rFonts w:ascii="Calibri" w:hAnsi="Calibri"/>
          <w:b w:val="0"/>
          <w:i w:val="0"/>
        </w:rPr>
        <w:t>Each session opens with a defined goal, the smallest deployable scope, and a list of files to touch. Claude proposes the architecture and writes the first cut; Giovanni reviews, runs, and corrects. We commit at every working state and push to Vercel often.</w:t>
      </w:r>
    </w:p>
    <w:p>
      <w:pPr>
        <w:spacing w:before="200" w:after="60"/>
      </w:pPr>
      <w:r>
        <w:rPr>
          <w:rFonts w:ascii="Calibri" w:hAnsi="Calibri"/>
          <w:b/>
          <w:i w:val="0"/>
          <w:color w:val="282828"/>
          <w:sz w:val="24"/>
        </w:rPr>
        <w:t>The credibility bottleneck</w:t>
      </w:r>
    </w:p>
    <w:p>
      <w:pPr>
        <w:spacing w:after="160"/>
      </w:pPr>
      <w:r>
        <w:rPr>
          <w:rFonts w:ascii="Calibri" w:hAnsi="Calibri"/>
          <w:b w:val="0"/>
          <w:i w:val="0"/>
        </w:rPr>
        <w:t>The diagnostic item set in weeks 3–4 gates the rest of the build. Without 15–25 calibrated items per reasoning skill plus a short EU quiz, scoring is not defensible and the product runs on inference. Item sourcing or authoring starts in week 1 in parallel with engineering so that week 3 begins with content in hand.</w:t>
      </w:r>
    </w:p>
    <w:p>
      <w:pPr>
        <w:spacing w:before="280" w:after="80"/>
      </w:pPr>
      <w:r>
        <w:rPr>
          <w:rFonts w:ascii="Calibri" w:hAnsi="Calibri"/>
          <w:b/>
          <w:i w:val="0"/>
          <w:color w:val="1E3C6E"/>
          <w:sz w:val="28"/>
        </w:rPr>
        <w:t>4. Success criteria</w:t>
      </w:r>
    </w:p>
    <w:p>
      <w:pPr>
        <w:spacing w:after="160"/>
      </w:pPr>
      <w:r>
        <w:rPr>
          <w:rFonts w:ascii="Calibri" w:hAnsi="Calibri"/>
          <w:b w:val="0"/>
          <w:i w:val="0"/>
        </w:rPr>
        <w:t>Launch is successful if all three of the following hold by the end of October 2026.</w:t>
      </w:r>
    </w:p>
    <w:tbl>
      <w:tblPr>
        <w:tblW w:type="auto" w:w="0"/>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3249"/>
        <w:gridCol w:w="3249"/>
        <w:gridCol w:w="3249"/>
      </w:tblGrid>
      <w:tr>
        <w:tc>
          <w:tcPr>
            <w:tcW w:type="dxa" w:w="3118"/>
            <w:shd w:val="clear" w:color="auto" w:fill="1E3C6E"/>
            <w:vAlign w:val="center"/>
          </w:tcPr>
          <w:p>
            <w:pPr>
              <w:spacing w:after="0"/>
            </w:pPr>
            <w:r/>
            <w:r>
              <w:rPr>
                <w:rFonts w:ascii="Calibri" w:hAnsi="Calibri"/>
                <w:b/>
                <w:i w:val="0"/>
                <w:color w:val="FFFFFF"/>
                <w:sz w:val="20"/>
              </w:rPr>
              <w:t>Metric</w:t>
            </w:r>
          </w:p>
        </w:tc>
        <w:tc>
          <w:tcPr>
            <w:tcW w:type="dxa" w:w="4252"/>
            <w:shd w:val="clear" w:color="auto" w:fill="1E3C6E"/>
            <w:vAlign w:val="center"/>
          </w:tcPr>
          <w:p>
            <w:pPr>
              <w:spacing w:after="0"/>
            </w:pPr>
            <w:r/>
            <w:r>
              <w:rPr>
                <w:rFonts w:ascii="Calibri" w:hAnsi="Calibri"/>
                <w:b/>
                <w:i w:val="0"/>
                <w:color w:val="FFFFFF"/>
                <w:sz w:val="20"/>
              </w:rPr>
              <w:t>Target</w:t>
            </w:r>
          </w:p>
        </w:tc>
        <w:tc>
          <w:tcPr>
            <w:tcW w:type="dxa" w:w="2268"/>
            <w:shd w:val="clear" w:color="auto" w:fill="1E3C6E"/>
            <w:vAlign w:val="center"/>
          </w:tcPr>
          <w:p>
            <w:pPr>
              <w:spacing w:after="0"/>
            </w:pPr>
            <w:r/>
            <w:r>
              <w:rPr>
                <w:rFonts w:ascii="Calibri" w:hAnsi="Calibri"/>
                <w:b/>
                <w:i w:val="0"/>
                <w:color w:val="FFFFFF"/>
                <w:sz w:val="20"/>
              </w:rPr>
              <w:t>Source</w:t>
            </w:r>
          </w:p>
        </w:tc>
      </w:tr>
      <w:tr>
        <w:tc>
          <w:tcPr>
            <w:tcW w:type="dxa" w:w="3118"/>
            <w:vAlign w:val="center"/>
          </w:tcPr>
          <w:p>
            <w:pPr>
              <w:spacing w:after="0"/>
            </w:pPr>
            <w:r/>
            <w:r>
              <w:rPr>
                <w:rFonts w:ascii="Calibri" w:hAnsi="Calibri"/>
                <w:b w:val="0"/>
                <w:i w:val="0"/>
                <w:sz w:val="20"/>
              </w:rPr>
              <w:t>Trial-to-paid conversion</w:t>
            </w:r>
          </w:p>
        </w:tc>
        <w:tc>
          <w:tcPr>
            <w:tcW w:type="dxa" w:w="4252"/>
            <w:vAlign w:val="center"/>
          </w:tcPr>
          <w:p>
            <w:pPr>
              <w:spacing w:after="0"/>
            </w:pPr>
            <w:r/>
            <w:r>
              <w:rPr>
                <w:rFonts w:ascii="Calibri" w:hAnsi="Calibri"/>
                <w:b w:val="0"/>
                <w:i w:val="0"/>
                <w:sz w:val="20"/>
              </w:rPr>
              <w:t>≥ 8–10% with card-up-front</w:t>
            </w:r>
          </w:p>
        </w:tc>
        <w:tc>
          <w:tcPr>
            <w:tcW w:type="dxa" w:w="2268"/>
            <w:vAlign w:val="center"/>
          </w:tcPr>
          <w:p>
            <w:pPr>
              <w:spacing w:after="0"/>
            </w:pPr>
            <w:r/>
            <w:r>
              <w:rPr>
                <w:rFonts w:ascii="Calibri" w:hAnsi="Calibri"/>
                <w:b w:val="0"/>
                <w:i w:val="0"/>
                <w:sz w:val="20"/>
              </w:rPr>
              <w:t>Stripe + PostHog</w:t>
            </w:r>
          </w:p>
        </w:tc>
      </w:tr>
      <w:tr>
        <w:tc>
          <w:tcPr>
            <w:tcW w:type="dxa" w:w="3118"/>
            <w:shd w:val="clear" w:color="auto" w:fill="F2F4F8"/>
            <w:vAlign w:val="center"/>
          </w:tcPr>
          <w:p>
            <w:pPr>
              <w:spacing w:after="0"/>
            </w:pPr>
            <w:r/>
            <w:r>
              <w:rPr>
                <w:rFonts w:ascii="Calibri" w:hAnsi="Calibri"/>
                <w:b w:val="0"/>
                <w:i w:val="0"/>
                <w:sz w:val="20"/>
              </w:rPr>
              <w:t>Week-3 active retention of paid users</w:t>
            </w:r>
          </w:p>
        </w:tc>
        <w:tc>
          <w:tcPr>
            <w:tcW w:type="dxa" w:w="4252"/>
            <w:shd w:val="clear" w:color="auto" w:fill="F2F4F8"/>
            <w:vAlign w:val="center"/>
          </w:tcPr>
          <w:p>
            <w:pPr>
              <w:spacing w:after="0"/>
            </w:pPr>
            <w:r/>
            <w:r>
              <w:rPr>
                <w:rFonts w:ascii="Calibri" w:hAnsi="Calibri"/>
                <w:b w:val="0"/>
                <w:i w:val="0"/>
                <w:sz w:val="20"/>
              </w:rPr>
              <w:t>≥ 30%</w:t>
            </w:r>
          </w:p>
        </w:tc>
        <w:tc>
          <w:tcPr>
            <w:tcW w:type="dxa" w:w="2268"/>
            <w:shd w:val="clear" w:color="auto" w:fill="F2F4F8"/>
            <w:vAlign w:val="center"/>
          </w:tcPr>
          <w:p>
            <w:pPr>
              <w:spacing w:after="0"/>
            </w:pPr>
            <w:r/>
            <w:r>
              <w:rPr>
                <w:rFonts w:ascii="Calibri" w:hAnsi="Calibri"/>
                <w:b w:val="0"/>
                <w:i w:val="0"/>
                <w:sz w:val="20"/>
              </w:rPr>
              <w:t>PostHog</w:t>
            </w:r>
          </w:p>
        </w:tc>
      </w:tr>
      <w:tr>
        <w:tc>
          <w:tcPr>
            <w:tcW w:type="dxa" w:w="3118"/>
            <w:vAlign w:val="center"/>
          </w:tcPr>
          <w:p>
            <w:pPr>
              <w:spacing w:after="0"/>
            </w:pPr>
            <w:r/>
            <w:r>
              <w:rPr>
                <w:rFonts w:ascii="Calibri" w:hAnsi="Calibri"/>
                <w:b w:val="0"/>
                <w:i w:val="0"/>
                <w:sz w:val="20"/>
              </w:rPr>
              <w:t>Blended CAC</w:t>
            </w:r>
          </w:p>
        </w:tc>
        <w:tc>
          <w:tcPr>
            <w:tcW w:type="dxa" w:w="4252"/>
            <w:vAlign w:val="center"/>
          </w:tcPr>
          <w:p>
            <w:pPr>
              <w:spacing w:after="0"/>
            </w:pPr>
            <w:r/>
            <w:r>
              <w:rPr>
                <w:rFonts w:ascii="Calibri" w:hAnsi="Calibri"/>
                <w:b w:val="0"/>
                <w:i w:val="0"/>
                <w:sz w:val="20"/>
              </w:rPr>
              <w:t>≤ 3-month contribution margin (~€50–65 at €24.99/month)</w:t>
            </w:r>
          </w:p>
        </w:tc>
        <w:tc>
          <w:tcPr>
            <w:tcW w:type="dxa" w:w="2268"/>
            <w:vAlign w:val="center"/>
          </w:tcPr>
          <w:p>
            <w:pPr>
              <w:spacing w:after="0"/>
            </w:pPr>
            <w:r/>
            <w:r>
              <w:rPr>
                <w:rFonts w:ascii="Calibri" w:hAnsi="Calibri"/>
                <w:b w:val="0"/>
                <w:i w:val="0"/>
                <w:sz w:val="20"/>
              </w:rPr>
              <w:t>UTM + ad spend</w:t>
            </w:r>
          </w:p>
        </w:tc>
      </w:tr>
    </w:tbl>
    <w:p>
      <w:pPr>
        <w:spacing w:after="120"/>
      </w:pPr>
    </w:p>
    <w:p>
      <w:pPr>
        <w:spacing w:before="280" w:after="80"/>
      </w:pPr>
      <w:r>
        <w:rPr>
          <w:rFonts w:ascii="Calibri" w:hAnsi="Calibri"/>
          <w:b/>
          <w:i w:val="0"/>
          <w:color w:val="1E3C6E"/>
          <w:sz w:val="28"/>
        </w:rPr>
        <w:t>5. Open items before week 1</w:t>
      </w:r>
    </w:p>
    <w:p>
      <w:pPr>
        <w:pStyle w:val="ListBullet"/>
        <w:spacing w:after="60"/>
        <w:ind w:left="340"/>
      </w:pPr>
      <w:r>
        <w:rPr>
          <w:rFonts w:ascii="Calibri" w:hAnsi="Calibri"/>
          <w:b w:val="0"/>
          <w:i w:val="0"/>
        </w:rPr>
        <w:t xml:space="preserve">Final product name. </w:t>
      </w:r>
      <w:r>
        <w:rPr>
          <w:rFonts w:ascii="Calibri" w:hAnsi="Calibri"/>
          <w:b w:val="0"/>
          <w:i w:val="0"/>
        </w:rPr>
        <w:t>Working name is Concourse; alternatives considered are Cadence, Praxis, Kompass, Laureate.</w:t>
      </w:r>
    </w:p>
    <w:p>
      <w:pPr>
        <w:pStyle w:val="ListBullet"/>
        <w:spacing w:after="60"/>
        <w:ind w:left="340"/>
      </w:pPr>
      <w:r>
        <w:rPr>
          <w:rFonts w:ascii="Calibri" w:hAnsi="Calibri"/>
          <w:b w:val="0"/>
          <w:i w:val="0"/>
        </w:rPr>
        <w:t xml:space="preserve">Confirm card-up-front for the 7-day trial. </w:t>
      </w:r>
      <w:r>
        <w:rPr>
          <w:rFonts w:ascii="Calibri" w:hAnsi="Calibri"/>
          <w:b w:val="0"/>
          <w:i w:val="0"/>
        </w:rPr>
        <w:t>The CAC funnel design depends on this.</w:t>
      </w:r>
    </w:p>
    <w:p>
      <w:pPr>
        <w:pStyle w:val="ListBullet"/>
        <w:spacing w:after="60"/>
        <w:ind w:left="340"/>
      </w:pPr>
      <w:r>
        <w:rPr>
          <w:rFonts w:ascii="Calibri" w:hAnsi="Calibri"/>
          <w:b w:val="0"/>
          <w:i w:val="0"/>
        </w:rPr>
        <w:t xml:space="preserve">Source or author the diagnostic item set. </w:t>
      </w:r>
      <w:r>
        <w:rPr>
          <w:rFonts w:ascii="Calibri" w:hAnsi="Calibri"/>
          <w:b w:val="0"/>
          <w:i w:val="0"/>
        </w:rPr>
        <w:t>Target 15–25 items per reasoning skill plus EU quiz. Credibility bottleneck.</w:t>
      </w:r>
    </w:p>
    <w:p>
      <w:pPr>
        <w:pStyle w:val="ListBullet"/>
        <w:spacing w:after="60"/>
        <w:ind w:left="340"/>
      </w:pPr>
      <w:r>
        <w:rPr>
          <w:rFonts w:ascii="Calibri" w:hAnsi="Calibri"/>
          <w:b w:val="0"/>
          <w:i w:val="0"/>
        </w:rPr>
        <w:t xml:space="preserve">First acquisition channels to instrument and the paid-channel test budget. </w:t>
      </w:r>
      <w:r>
        <w:rPr>
          <w:rFonts w:ascii="Calibri" w:hAnsi="Calibri"/>
          <w:b w:val="0"/>
          <w:i w:val="0"/>
        </w:rPr>
        <w:t>Candidates: EPSO communities, LinkedIn, coach partnerships.</w:t>
      </w:r>
    </w:p>
    <w:p>
      <w:pPr>
        <w:spacing w:before="280" w:after="80"/>
      </w:pPr>
      <w:r>
        <w:rPr>
          <w:rFonts w:ascii="Calibri" w:hAnsi="Calibri"/>
          <w:b/>
          <w:i w:val="0"/>
          <w:color w:val="1E3C6E"/>
          <w:sz w:val="28"/>
        </w:rPr>
        <w:t>FAQ</w:t>
      </w:r>
    </w:p>
    <w:p>
      <w:pPr>
        <w:spacing w:before="120" w:after="40"/>
      </w:pPr>
      <w:r>
        <w:rPr>
          <w:rFonts w:ascii="Calibri" w:hAnsi="Calibri"/>
          <w:b/>
          <w:i w:val="0"/>
          <w:sz w:val="22"/>
        </w:rPr>
        <w:t>Q. Why a 7-day trial with card-up-front rather than a hard paywall or a longer free trial?</w:t>
      </w:r>
    </w:p>
    <w:p>
      <w:pPr>
        <w:spacing w:after="80"/>
        <w:ind w:left="227"/>
      </w:pPr>
      <w:r>
        <w:rPr>
          <w:rFonts w:ascii="Calibri" w:hAnsi="Calibri"/>
          <w:b w:val="0"/>
          <w:i w:val="0"/>
        </w:rPr>
        <w:t>A. Card-up-front filters tire-kickers, keeps the CAC funnel readable, and pulls the pay decision into week one. A hard paywall produces a clean pay signal but destroys top-of-funnel volume at this stage; a longer free trial buries the conversion event past the point where ad budgets can be evaluated. The 7-day card-up-front design is the minimum rig that answers both hypotheses on a real timeline.</w:t>
      </w:r>
    </w:p>
    <w:p>
      <w:pPr>
        <w:spacing w:before="120" w:after="40"/>
      </w:pPr>
      <w:r>
        <w:rPr>
          <w:rFonts w:ascii="Calibri" w:hAnsi="Calibri"/>
          <w:b/>
          <w:i w:val="0"/>
          <w:sz w:val="22"/>
        </w:rPr>
        <w:t>Q. Why generate performance data in-product instead of importing from EUTraining, ORSEU, and the other question banks?</w:t>
      </w:r>
    </w:p>
    <w:p>
      <w:pPr>
        <w:spacing w:after="80"/>
        <w:ind w:left="227"/>
      </w:pPr>
      <w:r>
        <w:rPr>
          <w:rFonts w:ascii="Calibri" w:hAnsi="Calibri"/>
          <w:b w:val="0"/>
          <w:i w:val="0"/>
        </w:rPr>
        <w:t>A. Three reasons. First, manual logging will not happen at the rate the adaptive loop needs. Second, parsing third-party screens is brittle and gives no control over item quality or coverage. Third, an in-product diagnostic is the only path to a defensible data moat — a growing per-user record of measured skill trajectories that incumbents cannot replicate without building the same instrument. Screenshot import remains a convenience layer, not the spine.</w:t>
      </w:r>
    </w:p>
    <w:p>
      <w:pPr>
        <w:spacing w:before="120" w:after="40"/>
      </w:pPr>
      <w:r>
        <w:rPr>
          <w:rFonts w:ascii="Calibri" w:hAnsi="Calibri"/>
          <w:b/>
          <w:i w:val="0"/>
          <w:sz w:val="22"/>
        </w:rPr>
        <w:t>Q. Why exclude an integrated question bank and a chatbot from the MVP?</w:t>
      </w:r>
    </w:p>
    <w:p>
      <w:pPr>
        <w:spacing w:after="80"/>
        <w:ind w:left="227"/>
      </w:pPr>
      <w:r>
        <w:rPr>
          <w:rFonts w:ascii="Calibri" w:hAnsi="Calibri"/>
          <w:b w:val="0"/>
          <w:i w:val="0"/>
        </w:rPr>
        <w:t>A. Both add scope without changing the answer to the two hypotheses we are testing. A question bank moves us into competition with EUTraining and ORSEU and adds content cost; a chatbot dilutes the daily-plan habit by giving users a second surface to use. The MVP is built to read three numbers cleanly. Adding either feature now would muddy those numbers and push launch past the AD5/AD7 wave.</w:t>
      </w:r>
    </w:p>
    <w:p>
      <w:pPr>
        <w:spacing w:before="120" w:after="40"/>
      </w:pPr>
      <w:r>
        <w:rPr>
          <w:rFonts w:ascii="Calibri" w:hAnsi="Calibri"/>
          <w:b/>
          <w:i w:val="0"/>
          <w:sz w:val="22"/>
        </w:rPr>
        <w:t>Q. What happens if the diagnostic item set is not ready by week 3?</w:t>
      </w:r>
    </w:p>
    <w:p>
      <w:pPr>
        <w:spacing w:after="80"/>
        <w:ind w:left="227"/>
      </w:pPr>
      <w:r>
        <w:rPr>
          <w:rFonts w:ascii="Calibri" w:hAnsi="Calibri"/>
          <w:b w:val="0"/>
          <w:i w:val="0"/>
        </w:rPr>
        <w:t>A. The build stalls. The diagnostic is the credibility core; without it, scoring is inference and the product is a CV-and-LLM shell. Item sourcing starts in week 1 in parallel with engineering for this reason. If items remain incomplete at week 3, we narrow scope to the two reasoning skills with full coverage and ship with a smaller diagnostic, rather than launching with uncalibrated items.</w:t>
      </w:r>
    </w:p>
    <w:p>
      <w:pPr>
        <w:spacing w:before="120" w:after="40"/>
      </w:pPr>
      <w:r>
        <w:rPr>
          <w:rFonts w:ascii="Calibri" w:hAnsi="Calibri"/>
          <w:b/>
          <w:i w:val="0"/>
          <w:sz w:val="22"/>
        </w:rPr>
        <w:t>Q. How will we know in pilot weeks 10–11 whether to launch publicly in week 12?</w:t>
      </w:r>
    </w:p>
    <w:p>
      <w:pPr>
        <w:spacing w:after="80"/>
        <w:ind w:left="227"/>
      </w:pPr>
      <w:r>
        <w:rPr>
          <w:rFonts w:ascii="Calibri" w:hAnsi="Calibri"/>
          <w:b w:val="0"/>
          <w:i w:val="0"/>
        </w:rPr>
        <w:t>A. Two reads. Qualitative: do pilot users return on day 4, 7, and 14 without prompting, and does the weekly re-plan feel different from the prior week. Instrumented: trial-to-paid conversion above 8% on the pilot cohort, even at small numbers, plus a week-3 retention reading that does not collapse. If either signal fails, week 12 becomes a fix-and-test extension rather than a public launch, and the AD5/AD7 wave shifts to a soft launch via EPSO communities only.</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