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Georgia" w:cs="Georgia" w:eastAsia="Georgia" w:hAnsi="Georgia"/>
          <w:b/>
          <w:bCs/>
          <w:color w:val="16324F"/>
          <w:sz w:val="44"/>
          <w:szCs w:val="44"/>
        </w:rPr>
        <w:t xml:space="preserve">LUNGELO MOKOENA ATTORNEYS</w:t>
      </w:r>
    </w:p>
    <w:p>
      <w:pPr>
        <w:spacing w:before="300"/>
        <w:jc w:val="center"/>
      </w:pPr>
      <w:r>
        <w:rPr>
          <w:rFonts w:ascii="Georgia" w:cs="Georgia" w:eastAsia="Georgia" w:hAnsi="Georgia"/>
          <w:b/>
          <w:bCs/>
          <w:color w:val="3B3B3B"/>
          <w:sz w:val="32"/>
          <w:szCs w:val="32"/>
        </w:rPr>
        <w:t xml:space="preserve">FEE STRUCTURE</w:t>
      </w:r>
    </w:p>
    <w:p>
      <w:pPr>
        <w:spacing w:before="100"/>
        <w:jc w:val="center"/>
      </w:pPr>
      <w:r>
        <w:rPr>
          <w:rFonts w:ascii="Calibri" w:cs="Calibri" w:eastAsia="Calibri" w:hAnsi="Calibri"/>
          <w:i/>
          <w:iCs/>
          <w:color w:val="3B3B3B"/>
          <w:sz w:val="20"/>
          <w:szCs w:val="20"/>
        </w:rPr>
        <w:t xml:space="preserve">Reference schedule of fees, guideline tariffs and billing practice</w:t>
      </w:r>
    </w:p>
    <w:p>
      <w:pPr>
        <w:spacing w:before="1200"/>
      </w:pPr>
    </w:p>
    <w:p>
      <w:pPr>
        <w:jc w:val="center"/>
      </w:pPr>
      <w:r>
        <w:rPr>
          <w:rFonts w:ascii="Calibri" w:cs="Calibri" w:eastAsia="Calibri" w:hAnsi="Calibri"/>
          <w:color w:val="3B3B3B"/>
          <w:sz w:val="18"/>
          <w:szCs w:val="18"/>
        </w:rPr>
        <w:t xml:space="preserve">4 Luther Circle, Sherwood Gardens, Brakpan, 1541  |  079 620 9349  |  lungelomokoena8@yahoo.com</w:t>
      </w:r>
    </w:p>
    <w:p>
      <w:pPr>
        <w:spacing w:before="60"/>
        <w:jc w:val="center"/>
      </w:pPr>
      <w:r>
        <w:rPr>
          <w:rFonts w:ascii="Calibri" w:cs="Calibri" w:eastAsia="Calibri" w:hAnsi="Calibri"/>
          <w:i/>
          <w:iCs/>
          <w:color w:val="3B3B3B"/>
          <w:sz w:val="17"/>
          <w:szCs w:val="17"/>
        </w:rPr>
        <w:t xml:space="preserve">September 2026 — for internal use and client reference; review and update periodically</w:t>
      </w:r>
    </w:p>
    <w:p>
      <w:r>
        <w:br w:type="page"/>
      </w:r>
    </w:p>
    <w:p>
      <w:pPr>
        <w:pStyle w:val="Heading1"/>
        <w:pBdr>
          <w:bottom w:val="single" w:color="A67C1E" w:sz="8" w:space="4"/>
        </w:pBdr>
        <w:spacing w:after="180" w:before="440"/>
      </w:pPr>
      <w:r>
        <w:rPr>
          <w:rFonts w:ascii="Georgia" w:cs="Georgia" w:eastAsia="Georgia" w:hAnsi="Georgia"/>
          <w:b/>
          <w:bCs/>
          <w:color w:val="16324F"/>
          <w:sz w:val="28"/>
          <w:szCs w:val="28"/>
        </w:rPr>
        <w:t xml:space="preserve">1.  HOW ATTORNEYS' FEES WORK IN SOUTH AFRICA</w:t>
      </w:r>
    </w:p>
    <w:p>
      <w:pPr>
        <w:spacing w:after="140" w:line="270"/>
        <w:jc w:val="both"/>
      </w:pPr>
      <w:r>
        <w:rPr>
          <w:rFonts w:ascii="Calibri" w:cs="Calibri" w:eastAsia="Calibri" w:hAnsi="Calibri"/>
          <w:color w:val="3B3B3B"/>
          <w:sz w:val="20"/>
          <w:szCs w:val="20"/>
        </w:rPr>
        <w:t xml:space="preserve">Since the Competition Commission's 2006 ruling against the profession's old fixed fee tariffs, attorneys' fees in South Africa are negotiable, not fixed. There is no single binding price list an attorney must charge. What exists instead is a mix of: statutory caps that cannot be exceeded in specific situations (executor's remuneration, contingency fee success fees); non-binding guideline tariffs published by bodies such as the Law Society of South Africa (LSSA), most notably for conveyancing; and court tariffs used to calculate what a losing party must pay the winning party ("party-and-party" costs), which are separate from what a firm charges its own client ("attorney-and-client" fees).</w:t>
      </w:r>
    </w:p>
    <w:p>
      <w:pPr>
        <w:spacing w:after="140" w:line="270"/>
        <w:jc w:val="both"/>
      </w:pPr>
      <w:r>
        <w:rPr>
          <w:rFonts w:ascii="Calibri" w:cs="Calibri" w:eastAsia="Calibri" w:hAnsi="Calibri"/>
          <w:color w:val="3B3B3B"/>
          <w:sz w:val="20"/>
          <w:szCs w:val="20"/>
        </w:rPr>
        <w:t xml:space="preserve">This document sets LMA's own fee structure within that framework: fixed fees for common, predictable matters; hourly rates for open-ended work; and the statutory rules that govern estates, contingency/RAF matters and conveyancing. Figures marked as guideline or statutory are sourced from current regulation and case law; figures marked as LMA's own rate are commercial decisions for the firm to set and revise. Every fee below should be confirmed in a written fee agreement or engagement letter before work begins, as required by the Legal Practice Council's Code of Conduct.</w:t>
      </w:r>
    </w:p>
    <w:p>
      <w:pPr>
        <w:pStyle w:val="Heading1"/>
        <w:pBdr>
          <w:bottom w:val="single" w:color="A67C1E" w:sz="8" w:space="4"/>
        </w:pBdr>
        <w:spacing w:after="180" w:before="440"/>
      </w:pPr>
      <w:r>
        <w:rPr>
          <w:rFonts w:ascii="Georgia" w:cs="Georgia" w:eastAsia="Georgia" w:hAnsi="Georgia"/>
          <w:b/>
          <w:bCs/>
          <w:color w:val="16324F"/>
          <w:sz w:val="28"/>
          <w:szCs w:val="28"/>
        </w:rPr>
        <w:t xml:space="preserve">2.  HOURLY RATES</w:t>
      </w:r>
    </w:p>
    <w:p>
      <w:pPr>
        <w:spacing w:after="140" w:line="270"/>
        <w:jc w:val="both"/>
      </w:pPr>
      <w:r>
        <w:rPr>
          <w:rFonts w:ascii="Calibri" w:cs="Calibri" w:eastAsia="Calibri" w:hAnsi="Calibri"/>
          <w:color w:val="3B3B3B"/>
          <w:sz w:val="20"/>
          <w:szCs w:val="20"/>
        </w:rPr>
        <w:t xml:space="preserve">For matters that aren't fixed-fee (litigation, opinions, general advisory work), fees are billed in units of time. Current South African market rates for comparable small/boutique practices range roughly from R900 to R1,800 per hour for attorneys, R1,800 to R3,000+ for senior/specialist attorneys at larger firms, and R700 to R1,200 for candidate attorneys and paralegals. The rates below are a suggested starting point for LMA, positioned for a boutique East Rand practice rather than Sandton corporate rates — adjust to reflect actual experience, specialisation and local market conditions.</w:t>
      </w:r>
    </w:p>
    <w:tbl>
      <w:tblPr>
        <w:tblW w:type="dxa" w:w="9000"/>
        <w:tblBorders>
          <w:top w:val="single" w:color="D9D7D2" w:sz="4"/>
          <w:left w:val="single" w:color="D9D7D2" w:sz="4"/>
          <w:bottom w:val="single" w:color="D9D7D2" w:sz="4"/>
          <w:right w:val="single" w:color="D9D7D2" w:sz="4"/>
          <w:insideH w:val="single" w:color="D9D7D2" w:sz="4"/>
          <w:insideV w:val="single" w:color="D9D7D2" w:sz="4"/>
        </w:tblBorders>
      </w:tblPr>
      <w:tblGrid>
        <w:gridCol w:w="5600"/>
        <w:gridCol w:w="3400"/>
      </w:tblGrid>
      <w:tr>
        <w:trPr>
          <w:tblHeader/>
        </w:trPr>
        <w:tc>
          <w:tcPr>
            <w:tcW w:type="dxa" w:w="56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Fee-earner</w:t>
            </w:r>
          </w:p>
        </w:tc>
        <w:tc>
          <w:tcPr>
            <w:tcW w:type="dxa" w:w="34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Suggested hourly rate (excl. VAT)</w:t>
            </w:r>
          </w:p>
        </w:tc>
      </w:tr>
      <w:tr>
        <w:tc>
          <w:tcPr>
            <w:tcW w:type="dxa" w:w="5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Director / Principal Attorney (Mr Mokoena)</w:t>
            </w:r>
          </w:p>
        </w:tc>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R1,200 – R1,600</w:t>
            </w:r>
          </w:p>
        </w:tc>
      </w:tr>
      <w:tr>
        <w:tc>
          <w:tcPr>
            <w:tcW w:type="dxa" w:w="56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Senior Associate Attorney</w:t>
            </w:r>
          </w:p>
        </w:tc>
        <w:tc>
          <w:tcPr>
            <w:tcW w:type="dxa" w:w="3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R900 – R1,200</w:t>
            </w:r>
          </w:p>
        </w:tc>
      </w:tr>
      <w:tr>
        <w:tc>
          <w:tcPr>
            <w:tcW w:type="dxa" w:w="5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Candidate Attorney</w:t>
            </w:r>
          </w:p>
        </w:tc>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R450 – R650</w:t>
            </w:r>
          </w:p>
        </w:tc>
      </w:tr>
      <w:tr>
        <w:tc>
          <w:tcPr>
            <w:tcW w:type="dxa" w:w="56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Paralegal</w:t>
            </w:r>
          </w:p>
        </w:tc>
        <w:tc>
          <w:tcPr>
            <w:tcW w:type="dxa" w:w="3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R350 – R500</w:t>
            </w:r>
          </w:p>
        </w:tc>
      </w:tr>
      <w:tr>
        <w:tc>
          <w:tcPr>
            <w:tcW w:type="dxa" w:w="5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Arbitrator / Mediator (ADR matters)</w:t>
            </w:r>
          </w:p>
        </w:tc>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R1,500 – R2,500</w:t>
            </w:r>
          </w:p>
        </w:tc>
      </w:tr>
    </w:tbl>
    <w:p>
      <w:pPr>
        <w:spacing w:after="140" w:line="270"/>
        <w:jc w:val="both"/>
      </w:pPr>
      <w:r>
        <w:rPr>
          <w:rFonts w:ascii="Calibri" w:cs="Calibri" w:eastAsia="Calibri" w:hAnsi="Calibri"/>
          <w:color w:val="3B3B3B"/>
          <w:sz w:val="20"/>
          <w:szCs w:val="20"/>
        </w:rPr>
        <w:t xml:space="preserve">Time is typically billed in 6-minute (0.1 hour) units, recorded contemporaneously against each matter. VAT at 15% is added to all fees where the firm is a registered VAT vendor.</w:t>
      </w:r>
    </w:p>
    <w:p>
      <w:pPr>
        <w:pStyle w:val="Heading1"/>
        <w:pBdr>
          <w:bottom w:val="single" w:color="A67C1E" w:sz="8" w:space="4"/>
        </w:pBdr>
        <w:spacing w:after="180" w:before="440"/>
      </w:pPr>
      <w:r>
        <w:rPr>
          <w:rFonts w:ascii="Georgia" w:cs="Georgia" w:eastAsia="Georgia" w:hAnsi="Georgia"/>
          <w:b/>
          <w:bCs/>
          <w:color w:val="16324F"/>
          <w:sz w:val="28"/>
          <w:szCs w:val="28"/>
        </w:rPr>
        <w:t xml:space="preserve">3.  FIXED FEES — COMMON MATTERS</w:t>
      </w:r>
    </w:p>
    <w:p>
      <w:pPr>
        <w:spacing w:after="140" w:line="270"/>
        <w:jc w:val="both"/>
      </w:pPr>
      <w:r>
        <w:rPr>
          <w:rFonts w:ascii="Calibri" w:cs="Calibri" w:eastAsia="Calibri" w:hAnsi="Calibri"/>
          <w:color w:val="3B3B3B"/>
          <w:sz w:val="20"/>
          <w:szCs w:val="20"/>
        </w:rPr>
        <w:t xml:space="preserve">Fixed fees give clients cost certainty on predictable, well-scoped work. These mirror the rates already published on the firm's website and should be kept consistent across all client-facing materials.</w:t>
      </w:r>
    </w:p>
    <w:tbl>
      <w:tblPr>
        <w:tblW w:type="dxa" w:w="9000"/>
        <w:tblBorders>
          <w:top w:val="single" w:color="D9D7D2" w:sz="4"/>
          <w:left w:val="single" w:color="D9D7D2" w:sz="4"/>
          <w:bottom w:val="single" w:color="D9D7D2" w:sz="4"/>
          <w:right w:val="single" w:color="D9D7D2" w:sz="4"/>
          <w:insideH w:val="single" w:color="D9D7D2" w:sz="4"/>
          <w:insideV w:val="single" w:color="D9D7D2" w:sz="4"/>
        </w:tblBorders>
      </w:tblPr>
      <w:tblGrid>
        <w:gridCol w:w="3400"/>
        <w:gridCol w:w="2800"/>
        <w:gridCol w:w="2800"/>
      </w:tblGrid>
      <w:tr>
        <w:trPr>
          <w:tblHeader/>
        </w:trPr>
        <w:tc>
          <w:tcPr>
            <w:tcW w:type="dxa" w:w="34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Service</w:t>
            </w:r>
          </w:p>
        </w:tc>
        <w:tc>
          <w:tcPr>
            <w:tcW w:type="dxa" w:w="28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Fixed fee (excl. VAT)</w:t>
            </w:r>
          </w:p>
        </w:tc>
        <w:tc>
          <w:tcPr>
            <w:tcW w:type="dxa" w:w="28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Notes</w:t>
            </w:r>
          </w:p>
        </w:tc>
      </w:tr>
      <w:tr>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Basic will drafting</w:t>
            </w:r>
          </w:p>
        </w:tc>
        <w:tc>
          <w:tcPr>
            <w:tcW w:type="dxa" w:w="28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R1,500</w:t>
            </w:r>
          </w:p>
        </w:tc>
        <w:tc>
          <w:tcPr>
            <w:tcW w:type="dxa" w:w="28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Single, uncomplicated will</w:t>
            </w:r>
          </w:p>
        </w:tc>
      </w:tr>
      <w:tr>
        <w:tc>
          <w:tcPr>
            <w:tcW w:type="dxa" w:w="3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Uncontested divorce</w:t>
            </w:r>
          </w:p>
        </w:tc>
        <w:tc>
          <w:tcPr>
            <w:tcW w:type="dxa" w:w="28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R6,500</w:t>
            </w:r>
          </w:p>
        </w:tc>
        <w:tc>
          <w:tcPr>
            <w:tcW w:type="dxa" w:w="28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Summons to decree, unopposed</w:t>
            </w:r>
          </w:p>
        </w:tc>
      </w:tr>
      <w:tr>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Company registration (Pty Ltd)</w:t>
            </w:r>
          </w:p>
        </w:tc>
        <w:tc>
          <w:tcPr>
            <w:tcW w:type="dxa" w:w="28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R2,500</w:t>
            </w:r>
          </w:p>
        </w:tc>
        <w:tc>
          <w:tcPr>
            <w:tcW w:type="dxa" w:w="28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CIPC registration + founding documents</w:t>
            </w:r>
          </w:p>
        </w:tc>
      </w:tr>
      <w:tr>
        <w:tc>
          <w:tcPr>
            <w:tcW w:type="dxa" w:w="3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Antenuptial contract</w:t>
            </w:r>
          </w:p>
        </w:tc>
        <w:tc>
          <w:tcPr>
            <w:tcW w:type="dxa" w:w="28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R3,500 – R5,500</w:t>
            </w:r>
          </w:p>
        </w:tc>
        <w:tc>
          <w:tcPr>
            <w:tcW w:type="dxa" w:w="28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Drafting and registration, excl. Deeds Office fees</w:t>
            </w:r>
          </w:p>
        </w:tc>
      </w:tr>
      <w:tr>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CCMA representation (single matter)</w:t>
            </w:r>
          </w:p>
        </w:tc>
        <w:tc>
          <w:tcPr>
            <w:tcW w:type="dxa" w:w="28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R3,500 – R6,000</w:t>
            </w:r>
          </w:p>
        </w:tc>
        <w:tc>
          <w:tcPr>
            <w:tcW w:type="dxa" w:w="28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Per matter, excludes arbitration day rate if referred</w:t>
            </w:r>
          </w:p>
        </w:tc>
      </w:tr>
      <w:tr>
        <w:tc>
          <w:tcPr>
            <w:tcW w:type="dxa" w:w="3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Lease agreement drafting/review</w:t>
            </w:r>
          </w:p>
        </w:tc>
        <w:tc>
          <w:tcPr>
            <w:tcW w:type="dxa" w:w="28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R1,200 – R2,000</w:t>
            </w:r>
          </w:p>
        </w:tc>
        <w:tc>
          <w:tcPr>
            <w:tcW w:type="dxa" w:w="28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Standard residential or commercial lease</w:t>
            </w:r>
          </w:p>
        </w:tc>
      </w:tr>
    </w:tbl>
    <w:p>
      <w:pPr>
        <w:spacing w:after="140" w:line="270"/>
        <w:jc w:val="both"/>
      </w:pPr>
      <w:r>
        <w:rPr>
          <w:rFonts w:ascii="Calibri" w:cs="Calibri" w:eastAsia="Calibri" w:hAnsi="Calibri"/>
          <w:color w:val="3B3B3B"/>
          <w:sz w:val="20"/>
          <w:szCs w:val="20"/>
        </w:rPr>
        <w:t xml:space="preserve">Matters that turn out to be contested, complex, or outside the assumed scope (e.g. a divorce that becomes opposed) convert to hourly billing from that point, on written notice to the client.</w:t>
      </w:r>
    </w:p>
    <w:p>
      <w:pPr>
        <w:pStyle w:val="Heading1"/>
        <w:pBdr>
          <w:bottom w:val="single" w:color="A67C1E" w:sz="8" w:space="4"/>
        </w:pBdr>
        <w:spacing w:after="180" w:before="440"/>
      </w:pPr>
      <w:r>
        <w:rPr>
          <w:rFonts w:ascii="Georgia" w:cs="Georgia" w:eastAsia="Georgia" w:hAnsi="Georgia"/>
          <w:b/>
          <w:bCs/>
          <w:color w:val="16324F"/>
          <w:sz w:val="28"/>
          <w:szCs w:val="28"/>
        </w:rPr>
        <w:t xml:space="preserve">4.  CONVEYANCING &amp; PROPERTY TRANSFERS</w:t>
      </w:r>
    </w:p>
    <w:p>
      <w:pPr>
        <w:spacing w:after="140" w:line="270"/>
        <w:jc w:val="both"/>
      </w:pPr>
      <w:r>
        <w:rPr>
          <w:rFonts w:ascii="Calibri" w:cs="Calibri" w:eastAsia="Calibri" w:hAnsi="Calibri"/>
          <w:color w:val="3B3B3B"/>
          <w:sz w:val="20"/>
          <w:szCs w:val="20"/>
        </w:rPr>
        <w:t xml:space="preserve">Conveyancing fees are guided by the LSSA Conveyancing Fee Guideline (the current edition took effect 1 July 2026), a recommended, non-binding sliding scale based on the property's value, published by the Law Society of South Africa. It is a benchmark, not a statutory tariff — attorneys may charge above or below it, and it should be quoted to clients as indicative pricing, confirmed with a firm quote per transaction.</w:t>
      </w:r>
    </w:p>
    <w:tbl>
      <w:tblPr>
        <w:tblW w:type="dxa" w:w="9000"/>
        <w:tblBorders>
          <w:top w:val="single" w:color="D9D7D2" w:sz="4"/>
          <w:left w:val="single" w:color="D9D7D2" w:sz="4"/>
          <w:bottom w:val="single" w:color="D9D7D2" w:sz="4"/>
          <w:right w:val="single" w:color="D9D7D2" w:sz="4"/>
          <w:insideH w:val="single" w:color="D9D7D2" w:sz="4"/>
          <w:insideV w:val="single" w:color="D9D7D2" w:sz="4"/>
        </w:tblBorders>
      </w:tblPr>
      <w:tblGrid>
        <w:gridCol w:w="4400"/>
        <w:gridCol w:w="4600"/>
      </w:tblGrid>
      <w:tr>
        <w:trPr>
          <w:tblHeader/>
        </w:trPr>
        <w:tc>
          <w:tcPr>
            <w:tcW w:type="dxa" w:w="44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Transaction value</w:t>
            </w:r>
          </w:p>
        </w:tc>
        <w:tc>
          <w:tcPr>
            <w:tcW w:type="dxa" w:w="46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Guideline conveyancing fee (incl. VAT)</w:t>
            </w:r>
          </w:p>
        </w:tc>
      </w:tr>
      <w:tr>
        <w:tc>
          <w:tcPr>
            <w:tcW w:type="dxa" w:w="4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R2,000,000</w:t>
            </w:r>
          </w:p>
        </w:tc>
        <w:tc>
          <w:tcPr>
            <w:tcW w:type="dxa" w:w="4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 R42,406</w:t>
            </w:r>
          </w:p>
        </w:tc>
      </w:tr>
      <w:tr>
        <w:tc>
          <w:tcPr>
            <w:tcW w:type="dxa" w:w="4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R5,000,000</w:t>
            </w:r>
          </w:p>
        </w:tc>
        <w:tc>
          <w:tcPr>
            <w:tcW w:type="dxa" w:w="46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 R78,976</w:t>
            </w:r>
          </w:p>
        </w:tc>
      </w:tr>
      <w:tr>
        <w:tc>
          <w:tcPr>
            <w:tcW w:type="dxa" w:w="4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Other values</w:t>
            </w:r>
          </w:p>
        </w:tc>
        <w:tc>
          <w:tcPr>
            <w:tcW w:type="dxa" w:w="4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Calculated on the LSSA sliding scale — confirm current figure before quoting</w:t>
            </w:r>
          </w:p>
        </w:tc>
      </w:tr>
    </w:tbl>
    <w:p>
      <w:pPr>
        <w:spacing w:after="140" w:line="270"/>
        <w:jc w:val="both"/>
      </w:pPr>
      <w:r>
        <w:rPr>
          <w:rFonts w:ascii="Calibri" w:cs="Calibri" w:eastAsia="Calibri" w:hAnsi="Calibri"/>
          <w:color w:val="3B3B3B"/>
          <w:sz w:val="20"/>
          <w:szCs w:val="20"/>
        </w:rPr>
        <w:t xml:space="preserve">On top of the professional fee, every transfer carries disbursements payable to third parties, which are recovered from the client at cost, not marked up: Deeds Office registration fees, a rates clearance certificate from the municipality, a transfer duty or exemption certificate from SARS, and (for bond registrations) the bank's own conveyancing instruction and bond registration fee, usually payable to the bank's panel attorney rather than LMA if LMA isn't on that bank's panel.</w:t>
      </w:r>
    </w:p>
    <w:p>
      <w:pPr>
        <w:pStyle w:val="Heading1"/>
        <w:pBdr>
          <w:bottom w:val="single" w:color="A67C1E" w:sz="8" w:space="4"/>
        </w:pBdr>
        <w:spacing w:after="180" w:before="440"/>
      </w:pPr>
      <w:r>
        <w:rPr>
          <w:rFonts w:ascii="Georgia" w:cs="Georgia" w:eastAsia="Georgia" w:hAnsi="Georgia"/>
          <w:b/>
          <w:bCs/>
          <w:color w:val="16324F"/>
          <w:sz w:val="28"/>
          <w:szCs w:val="28"/>
        </w:rPr>
        <w:t xml:space="preserve">5.  DECEASED ESTATE ADMINISTRATION</w:t>
      </w:r>
    </w:p>
    <w:p>
      <w:pPr>
        <w:spacing w:after="140" w:line="270"/>
        <w:jc w:val="both"/>
      </w:pPr>
      <w:r>
        <w:rPr>
          <w:rFonts w:ascii="Calibri" w:cs="Calibri" w:eastAsia="Calibri" w:hAnsi="Calibri"/>
          <w:color w:val="3B3B3B"/>
          <w:sz w:val="20"/>
          <w:szCs w:val="20"/>
        </w:rPr>
        <w:t xml:space="preserve">Executor's remuneration is a statutory maximum, not a guideline — set by regulation 8(1) under the Administration of Estates Act 66 of 1965 (as fixed by Chief Master's Directive 4 of 2011), unless the deceased's will itself fixes a different fee. The Master of the High Court taxes (reviews and approves) the final amount claimed.</w:t>
      </w:r>
    </w:p>
    <w:tbl>
      <w:tblPr>
        <w:tblW w:type="dxa" w:w="9000"/>
        <w:tblBorders>
          <w:top w:val="single" w:color="D9D7D2" w:sz="4"/>
          <w:left w:val="single" w:color="D9D7D2" w:sz="4"/>
          <w:bottom w:val="single" w:color="D9D7D2" w:sz="4"/>
          <w:right w:val="single" w:color="D9D7D2" w:sz="4"/>
          <w:insideH w:val="single" w:color="D9D7D2" w:sz="4"/>
          <w:insideV w:val="single" w:color="D9D7D2" w:sz="4"/>
        </w:tblBorders>
      </w:tblPr>
      <w:tblGrid>
        <w:gridCol w:w="3600"/>
        <w:gridCol w:w="5400"/>
      </w:tblGrid>
      <w:tr>
        <w:trPr>
          <w:tblHeader/>
        </w:trPr>
        <w:tc>
          <w:tcPr>
            <w:tcW w:type="dxa" w:w="36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Component</w:t>
            </w:r>
          </w:p>
        </w:tc>
        <w:tc>
          <w:tcPr>
            <w:tcW w:type="dxa" w:w="54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Statutory maximum</w:t>
            </w:r>
          </w:p>
        </w:tc>
      </w:tr>
      <w:tr>
        <w:tc>
          <w:tcPr>
            <w:tcW w:type="dxa" w:w="3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Executor's commission</w:t>
            </w:r>
          </w:p>
        </w:tc>
        <w:tc>
          <w:tcPr>
            <w:tcW w:type="dxa" w:w="5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3.5% of the gross value of estate assets (excl. VAT), before debts are deducted</w:t>
            </w:r>
          </w:p>
        </w:tc>
      </w:tr>
      <w:tr>
        <w:tc>
          <w:tcPr>
            <w:tcW w:type="dxa" w:w="36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Income collection fee</w:t>
            </w:r>
          </w:p>
        </w:tc>
        <w:tc>
          <w:tcPr>
            <w:tcW w:type="dxa" w:w="5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6% of income the estate collects after the date of death (excl. VAT)</w:t>
            </w:r>
          </w:p>
        </w:tc>
      </w:tr>
      <w:tr>
        <w:tc>
          <w:tcPr>
            <w:tcW w:type="dxa" w:w="3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Minimum fee</w:t>
            </w:r>
          </w:p>
        </w:tc>
        <w:tc>
          <w:tcPr>
            <w:tcW w:type="dxa" w:w="5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R350, regardless of estate size</w:t>
            </w:r>
          </w:p>
        </w:tc>
      </w:tr>
      <w:tr>
        <w:tc>
          <w:tcPr>
            <w:tcW w:type="dxa" w:w="36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Master's Office fee</w:t>
            </w:r>
          </w:p>
        </w:tc>
        <w:tc>
          <w:tcPr>
            <w:tcW w:type="dxa" w:w="5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Capped at R7,000</w:t>
            </w:r>
          </w:p>
        </w:tc>
      </w:tr>
      <w:tr>
        <w:tc>
          <w:tcPr>
            <w:tcW w:type="dxa" w:w="3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VAT</w:t>
            </w:r>
          </w:p>
        </w:tc>
        <w:tc>
          <w:tcPr>
            <w:tcW w:type="dxa" w:w="5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15%, if LMA is a registered VAT vendor</w:t>
            </w:r>
          </w:p>
        </w:tc>
      </w:tr>
    </w:tbl>
    <w:p>
      <w:pPr>
        <w:spacing w:after="140" w:line="270"/>
        <w:jc w:val="both"/>
      </w:pPr>
      <w:r>
        <w:rPr>
          <w:rFonts w:ascii="Calibri" w:cs="Calibri" w:eastAsia="Calibri" w:hAnsi="Calibri"/>
          <w:color w:val="3B3B3B"/>
          <w:sz w:val="20"/>
          <w:szCs w:val="20"/>
        </w:rPr>
        <w:t xml:space="preserve">Note that the 3.5% is calculated on the gross value of assets — before any bond or other debt is subtracted — and, for a marriage in community of property, only on the deceased's half-share of the joint estate. This fee can be, and often is, negotiated downward at the time the will is drafted (a common range for straightforward estates is 1.5%–2.5%); recording an agreed lower rate directly in the will is best practice and a service LMA should actively offer will-drafting clients.</w:t>
      </w:r>
    </w:p>
    <w:p>
      <w:pPr>
        <w:spacing w:after="140" w:line="270"/>
        <w:jc w:val="both"/>
      </w:pPr>
      <w:r>
        <w:rPr>
          <w:rFonts w:ascii="Calibri" w:cs="Calibri" w:eastAsia="Calibri" w:hAnsi="Calibri"/>
          <w:color w:val="3B3B3B"/>
          <w:sz w:val="20"/>
          <w:szCs w:val="20"/>
        </w:rPr>
        <w:t xml:space="preserve">Disbursements billed at cost in addition to the executor's fee typically include: Master's Office fees, Government Gazette and newspaper advertising (notice to creditors), asset valuations, bank charges on the estate account, and conveyancing fees (per the conveyancing scale above) if immovable property is transferred out of the estate.</w:t>
      </w:r>
    </w:p>
    <w:p>
      <w:pPr>
        <w:pStyle w:val="Heading1"/>
        <w:pBdr>
          <w:bottom w:val="single" w:color="A67C1E" w:sz="8" w:space="4"/>
        </w:pBdr>
        <w:spacing w:after="180" w:before="440"/>
      </w:pPr>
      <w:r>
        <w:rPr>
          <w:rFonts w:ascii="Georgia" w:cs="Georgia" w:eastAsia="Georgia" w:hAnsi="Georgia"/>
          <w:b/>
          <w:bCs/>
          <w:color w:val="16324F"/>
          <w:sz w:val="28"/>
          <w:szCs w:val="28"/>
        </w:rPr>
        <w:t xml:space="preserve">6.  CONTINGENCY FEES — RAF &amp; PERSONAL INJURY</w:t>
      </w:r>
    </w:p>
    <w:p>
      <w:pPr>
        <w:spacing w:after="140" w:line="270"/>
        <w:jc w:val="both"/>
      </w:pPr>
      <w:r>
        <w:rPr>
          <w:rFonts w:ascii="Calibri" w:cs="Calibri" w:eastAsia="Calibri" w:hAnsi="Calibri"/>
          <w:color w:val="3B3B3B"/>
          <w:sz w:val="20"/>
          <w:szCs w:val="20"/>
        </w:rPr>
        <w:t xml:space="preserve">Contingency ("no win, no fee") agreements are governed by the Contingency Fees Act 66 of 1997 and must be in writing, in the prescribed form. The Act allows two structures:</w:t>
      </w:r>
    </w:p>
    <w:p>
      <w:pPr>
        <w:pStyle w:val="ListParagraph"/>
        <w:numPr>
          <w:ilvl w:val="0"/>
          <w:numId w:val="1"/>
        </w:numPr>
        <w:spacing w:after="80" w:line="260"/>
      </w:pPr>
      <w:r>
        <w:rPr>
          <w:rFonts w:ascii="Calibri" w:cs="Calibri" w:eastAsia="Calibri" w:hAnsi="Calibri"/>
          <w:color w:val="3B3B3B"/>
          <w:sz w:val="20"/>
          <w:szCs w:val="20"/>
        </w:rPr>
        <w:t xml:space="preserve">Normal fees only, contingent on success — the attorney's ordinary hourly/fixed fees, forfeited entirely if the matter is unsuccessful. No statutory cap applies to this structure.</w:t>
      </w:r>
    </w:p>
    <w:p>
      <w:pPr>
        <w:pStyle w:val="ListParagraph"/>
        <w:numPr>
          <w:ilvl w:val="0"/>
          <w:numId w:val="1"/>
        </w:numPr>
        <w:spacing w:after="80" w:line="260"/>
      </w:pPr>
      <w:r>
        <w:rPr>
          <w:rFonts w:ascii="Calibri" w:cs="Calibri" w:eastAsia="Calibri" w:hAnsi="Calibri"/>
          <w:color w:val="3B3B3B"/>
          <w:sz w:val="20"/>
          <w:szCs w:val="20"/>
        </w:rPr>
        <w:t xml:space="preserve">Normal fees plus a success fee — an uplift on the normal fee, capped at whichever is the lesser of: double the attorney's normal fee, or 25% of the capital amount awarded to the client. Following the Gauteng High Court's full-bench judgment in De Bod v Road Accident Fund (7 November 2025), this 25% cap is now settled as VAT-inclusive, resolving a long-running dispute in the profession — the cap has to absorb VAT, not sit on top of it.</w:t>
      </w:r>
    </w:p>
    <w:p>
      <w:pPr>
        <w:spacing w:after="140" w:line="270"/>
        <w:jc w:val="both"/>
      </w:pPr>
      <w:r>
        <w:rPr>
          <w:rFonts w:ascii="Calibri" w:cs="Calibri" w:eastAsia="Calibri" w:hAnsi="Calibri"/>
          <w:color w:val="3B3B3B"/>
          <w:sz w:val="20"/>
          <w:szCs w:val="20"/>
        </w:rPr>
        <w:t xml:space="preserve">This cap applies to the total success fee across every legal practitioner involved in the matter — it does not multiply if more than one practitioner or firm is instructed. Disbursements (medico-legal reports, actuarial reports, counsel's fees where briefed, correspondent attorney costs) are dealt with separately in the contingency agreement and are not part of the capped percentage.</w:t>
      </w:r>
    </w:p>
    <w:p>
      <w:pPr>
        <w:spacing w:after="140" w:line="270"/>
        <w:jc w:val="both"/>
      </w:pPr>
      <w:r>
        <w:rPr>
          <w:rFonts w:ascii="Calibri" w:cs="Calibri" w:eastAsia="Calibri" w:hAnsi="Calibri"/>
          <w:color w:val="3B3B3B"/>
          <w:sz w:val="20"/>
          <w:szCs w:val="20"/>
        </w:rPr>
        <w:t xml:space="preserve">Given the working-capital demands of carrying RAF and medical negligence matters on contingency for the 18 months to 3 years these claims typically take to resolve, LMA should confirm funding capacity (see the firm's Financial Strategy) before accepting a new contingency instruction, and maintain a signed contingency fee agreement, in the prescribed form, on every such file before work begins.</w:t>
      </w:r>
    </w:p>
    <w:p>
      <w:pPr>
        <w:pStyle w:val="Heading1"/>
        <w:pBdr>
          <w:bottom w:val="single" w:color="A67C1E" w:sz="8" w:space="4"/>
        </w:pBdr>
        <w:spacing w:after="180" w:before="440"/>
      </w:pPr>
      <w:r>
        <w:rPr>
          <w:rFonts w:ascii="Georgia" w:cs="Georgia" w:eastAsia="Georgia" w:hAnsi="Georgia"/>
          <w:b/>
          <w:bCs/>
          <w:color w:val="16324F"/>
          <w:sz w:val="28"/>
          <w:szCs w:val="28"/>
        </w:rPr>
        <w:t xml:space="preserve">7.  LITIGATION — PARTY-AND-PARTY VS ATTORNEY-AND-CLIENT COSTS</w:t>
      </w:r>
    </w:p>
    <w:p>
      <w:pPr>
        <w:spacing w:after="140" w:line="270"/>
        <w:jc w:val="both"/>
      </w:pPr>
      <w:r>
        <w:rPr>
          <w:rFonts w:ascii="Calibri" w:cs="Calibri" w:eastAsia="Calibri" w:hAnsi="Calibri"/>
          <w:color w:val="3B3B3B"/>
          <w:sz w:val="20"/>
          <w:szCs w:val="20"/>
        </w:rPr>
        <w:t xml:space="preserve">Two different cost concepts apply in litigation, and clients frequently confuse them. Party-and-party costs are what a losing party is ordered to pay the winner, calculated according to the tariff prescribed under the High Court Rules or the Magistrates' Courts Act 32 of 1944 (as applicable) — this tariff is fixed and taxed by the Registrar or Clerk of the Court, and it rarely covers a client's full legal spend. Attorney-and-client costs are what LMA actually charges its own client for the work done, billed at the hourly rates set out above (or on a higher-scale order, in the rarer case a court awards costs on the attorney-and-client scale). Clients should be told upfront, in the engagement letter, that even a costs order in their favour is unlikely to recover their full legal spend from the other side.</w:t>
      </w:r>
    </w:p>
    <w:p>
      <w:pPr>
        <w:pStyle w:val="Heading1"/>
        <w:pBdr>
          <w:bottom w:val="single" w:color="A67C1E" w:sz="8" w:space="4"/>
        </w:pBdr>
        <w:spacing w:after="180" w:before="440"/>
      </w:pPr>
      <w:r>
        <w:rPr>
          <w:rFonts w:ascii="Georgia" w:cs="Georgia" w:eastAsia="Georgia" w:hAnsi="Georgia"/>
          <w:b/>
          <w:bCs/>
          <w:color w:val="16324F"/>
          <w:sz w:val="28"/>
          <w:szCs w:val="28"/>
        </w:rPr>
        <w:t xml:space="preserve">8.  DISBURSEMENTS &amp; THIRD-PARTY COSTS</w:t>
      </w:r>
    </w:p>
    <w:p>
      <w:pPr>
        <w:spacing w:after="140" w:line="270"/>
        <w:jc w:val="both"/>
      </w:pPr>
      <w:r>
        <w:rPr>
          <w:rFonts w:ascii="Calibri" w:cs="Calibri" w:eastAsia="Calibri" w:hAnsi="Calibri"/>
          <w:color w:val="3B3B3B"/>
          <w:sz w:val="20"/>
          <w:szCs w:val="20"/>
        </w:rPr>
        <w:t xml:space="preserve">Disbursements are amounts LMA pays to third parties on a client's behalf and recovers at cost, without a mark-up. Common examples across the firm's practice areas:</w:t>
      </w:r>
    </w:p>
    <w:p>
      <w:pPr>
        <w:pStyle w:val="ListParagraph"/>
        <w:numPr>
          <w:ilvl w:val="0"/>
          <w:numId w:val="1"/>
        </w:numPr>
        <w:spacing w:after="80" w:line="260"/>
      </w:pPr>
      <w:r>
        <w:rPr>
          <w:rFonts w:ascii="Calibri" w:cs="Calibri" w:eastAsia="Calibri" w:hAnsi="Calibri"/>
          <w:color w:val="3B3B3B"/>
          <w:sz w:val="20"/>
          <w:szCs w:val="20"/>
        </w:rPr>
        <w:t xml:space="preserve">Sheriff's fees for service and execution</w:t>
      </w:r>
    </w:p>
    <w:p>
      <w:pPr>
        <w:pStyle w:val="ListParagraph"/>
        <w:numPr>
          <w:ilvl w:val="0"/>
          <w:numId w:val="1"/>
        </w:numPr>
        <w:spacing w:after="80" w:line="260"/>
      </w:pPr>
      <w:r>
        <w:rPr>
          <w:rFonts w:ascii="Calibri" w:cs="Calibri" w:eastAsia="Calibri" w:hAnsi="Calibri"/>
          <w:color w:val="3B3B3B"/>
          <w:sz w:val="20"/>
          <w:szCs w:val="20"/>
        </w:rPr>
        <w:t xml:space="preserve">Counsel's (advocate's) fees, where a matter is briefed out</w:t>
      </w:r>
    </w:p>
    <w:p>
      <w:pPr>
        <w:pStyle w:val="ListParagraph"/>
        <w:numPr>
          <w:ilvl w:val="0"/>
          <w:numId w:val="1"/>
        </w:numPr>
        <w:spacing w:after="80" w:line="260"/>
      </w:pPr>
      <w:r>
        <w:rPr>
          <w:rFonts w:ascii="Calibri" w:cs="Calibri" w:eastAsia="Calibri" w:hAnsi="Calibri"/>
          <w:color w:val="3B3B3B"/>
          <w:sz w:val="20"/>
          <w:szCs w:val="20"/>
        </w:rPr>
        <w:t xml:space="preserve">Correspondent attorney fees for out-of-town court appearances</w:t>
      </w:r>
    </w:p>
    <w:p>
      <w:pPr>
        <w:pStyle w:val="ListParagraph"/>
        <w:numPr>
          <w:ilvl w:val="0"/>
          <w:numId w:val="1"/>
        </w:numPr>
        <w:spacing w:after="80" w:line="260"/>
      </w:pPr>
      <w:r>
        <w:rPr>
          <w:rFonts w:ascii="Calibri" w:cs="Calibri" w:eastAsia="Calibri" w:hAnsi="Calibri"/>
          <w:color w:val="3B3B3B"/>
          <w:sz w:val="20"/>
          <w:szCs w:val="20"/>
        </w:rPr>
        <w:t xml:space="preserve">Deeds Office, CIPC and Master's Office fees</w:t>
      </w:r>
    </w:p>
    <w:p>
      <w:pPr>
        <w:pStyle w:val="ListParagraph"/>
        <w:numPr>
          <w:ilvl w:val="0"/>
          <w:numId w:val="1"/>
        </w:numPr>
        <w:spacing w:after="80" w:line="260"/>
      </w:pPr>
      <w:r>
        <w:rPr>
          <w:rFonts w:ascii="Calibri" w:cs="Calibri" w:eastAsia="Calibri" w:hAnsi="Calibri"/>
          <w:color w:val="3B3B3B"/>
          <w:sz w:val="20"/>
          <w:szCs w:val="20"/>
        </w:rPr>
        <w:t xml:space="preserve">Medico-legal, actuarial and expert witness fees</w:t>
      </w:r>
    </w:p>
    <w:p>
      <w:pPr>
        <w:pStyle w:val="ListParagraph"/>
        <w:numPr>
          <w:ilvl w:val="0"/>
          <w:numId w:val="1"/>
        </w:numPr>
        <w:spacing w:after="80" w:line="260"/>
      </w:pPr>
      <w:r>
        <w:rPr>
          <w:rFonts w:ascii="Calibri" w:cs="Calibri" w:eastAsia="Calibri" w:hAnsi="Calibri"/>
          <w:color w:val="3B3B3B"/>
          <w:sz w:val="20"/>
          <w:szCs w:val="20"/>
        </w:rPr>
        <w:t xml:space="preserve">Government Gazette and newspaper advertising costs</w:t>
      </w:r>
    </w:p>
    <w:p>
      <w:pPr>
        <w:pStyle w:val="ListParagraph"/>
        <w:numPr>
          <w:ilvl w:val="0"/>
          <w:numId w:val="1"/>
        </w:numPr>
        <w:spacing w:after="80" w:line="260"/>
      </w:pPr>
      <w:r>
        <w:rPr>
          <w:rFonts w:ascii="Calibri" w:cs="Calibri" w:eastAsia="Calibri" w:hAnsi="Calibri"/>
          <w:color w:val="3B3B3B"/>
          <w:sz w:val="20"/>
          <w:szCs w:val="20"/>
        </w:rPr>
        <w:t xml:space="preserve">Travel, printing, courier and bank charges directly related to a matter</w:t>
      </w:r>
    </w:p>
    <w:p>
      <w:pPr>
        <w:spacing w:after="140" w:line="270"/>
        <w:jc w:val="both"/>
      </w:pPr>
      <w:r>
        <w:rPr>
          <w:rFonts w:ascii="Calibri" w:cs="Calibri" w:eastAsia="Calibri" w:hAnsi="Calibri"/>
          <w:color w:val="3B3B3B"/>
          <w:sz w:val="20"/>
          <w:szCs w:val="20"/>
        </w:rPr>
        <w:t xml:space="preserve">Disbursements are billed separately from professional fees and, where material, should be estimated and disclosed to the client in advance.</w:t>
      </w:r>
    </w:p>
    <w:p>
      <w:pPr>
        <w:pStyle w:val="Heading1"/>
        <w:pBdr>
          <w:bottom w:val="single" w:color="A67C1E" w:sz="8" w:space="4"/>
        </w:pBdr>
        <w:spacing w:after="180" w:before="440"/>
      </w:pPr>
      <w:r>
        <w:rPr>
          <w:rFonts w:ascii="Georgia" w:cs="Georgia" w:eastAsia="Georgia" w:hAnsi="Georgia"/>
          <w:b/>
          <w:bCs/>
          <w:color w:val="16324F"/>
          <w:sz w:val="28"/>
          <w:szCs w:val="28"/>
        </w:rPr>
        <w:t xml:space="preserve">9.  BILLING &amp; PAYMENT TERMS</w:t>
      </w:r>
    </w:p>
    <w:tbl>
      <w:tblPr>
        <w:tblW w:type="dxa" w:w="9000"/>
        <w:tblBorders>
          <w:top w:val="single" w:color="D9D7D2" w:sz="4"/>
          <w:left w:val="single" w:color="D9D7D2" w:sz="4"/>
          <w:bottom w:val="single" w:color="D9D7D2" w:sz="4"/>
          <w:right w:val="single" w:color="D9D7D2" w:sz="4"/>
          <w:insideH w:val="single" w:color="D9D7D2" w:sz="4"/>
          <w:insideV w:val="single" w:color="D9D7D2" w:sz="4"/>
        </w:tblBorders>
      </w:tblPr>
      <w:tblGrid>
        <w:gridCol w:w="3400"/>
        <w:gridCol w:w="5600"/>
      </w:tblGrid>
      <w:tr>
        <w:trPr>
          <w:tblHeader/>
        </w:trPr>
        <w:tc>
          <w:tcPr>
            <w:tcW w:type="dxa" w:w="34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Policy</w:t>
            </w:r>
          </w:p>
        </w:tc>
        <w:tc>
          <w:tcPr>
            <w:tcW w:type="dxa" w:w="5600"/>
            <w:shd w:fill="16324F" w:val="clear"/>
            <w:tcMar>
              <w:top w:type="dxa" w:w="70"/>
              <w:left w:type="dxa" w:w="110"/>
              <w:bottom w:type="dxa" w:w="70"/>
              <w:right w:type="dxa" w:w="110"/>
            </w:tcMar>
            <w:vAlign w:val="center"/>
          </w:tcPr>
          <w:p>
            <w:r>
              <w:rPr>
                <w:rFonts w:ascii="Calibri" w:cs="Calibri" w:eastAsia="Calibri" w:hAnsi="Calibri"/>
                <w:b/>
                <w:bCs/>
                <w:color w:val="FFFFFF"/>
                <w:sz w:val="18"/>
                <w:szCs w:val="18"/>
              </w:rPr>
              <w:t xml:space="preserve">Standard term</w:t>
            </w:r>
          </w:p>
        </w:tc>
      </w:tr>
      <w:tr>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Fee agreement</w:t>
            </w:r>
          </w:p>
        </w:tc>
        <w:tc>
          <w:tcPr>
            <w:tcW w:type="dxa" w:w="5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Signed engagement letter or fee agreement before work begins on every matter</w:t>
            </w:r>
          </w:p>
        </w:tc>
      </w:tr>
      <w:tr>
        <w:tc>
          <w:tcPr>
            <w:tcW w:type="dxa" w:w="3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Invoicing frequency</w:t>
            </w:r>
          </w:p>
        </w:tc>
        <w:tc>
          <w:tcPr>
            <w:tcW w:type="dxa" w:w="56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Monthly for open matters; on completion for fixed-fee matters</w:t>
            </w:r>
          </w:p>
        </w:tc>
      </w:tr>
      <w:tr>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Payment terms</w:t>
            </w:r>
          </w:p>
        </w:tc>
        <w:tc>
          <w:tcPr>
            <w:tcW w:type="dxa" w:w="5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7 days from invoice date, unless otherwise agreed in writing</w:t>
            </w:r>
          </w:p>
        </w:tc>
      </w:tr>
      <w:tr>
        <w:tc>
          <w:tcPr>
            <w:tcW w:type="dxa" w:w="3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Trust deposits</w:t>
            </w:r>
          </w:p>
        </w:tc>
        <w:tc>
          <w:tcPr>
            <w:tcW w:type="dxa" w:w="56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Fixed-fee and contingency disbursement matters may require an upfront deposit into the firm's trust account</w:t>
            </w:r>
          </w:p>
        </w:tc>
      </w:tr>
      <w:tr>
        <w:tc>
          <w:tcPr>
            <w:tcW w:type="dxa" w:w="34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Interest on overdue accounts</w:t>
            </w:r>
          </w:p>
        </w:tc>
        <w:tc>
          <w:tcPr>
            <w:tcW w:type="dxa" w:w="5600"/>
            <w:shd w:fill="FFFFFF"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May be charged at the rate prescribed under the Prescribed Rate of Interest Act, on written notice</w:t>
            </w:r>
          </w:p>
        </w:tc>
      </w:tr>
      <w:tr>
        <w:tc>
          <w:tcPr>
            <w:tcW w:type="dxa" w:w="34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VAT</w:t>
            </w:r>
          </w:p>
        </w:tc>
        <w:tc>
          <w:tcPr>
            <w:tcW w:type="dxa" w:w="5600"/>
            <w:shd w:fill="F2F1EE" w:val="clear"/>
            <w:tcMar>
              <w:top w:type="dxa" w:w="70"/>
              <w:left w:type="dxa" w:w="110"/>
              <w:bottom w:type="dxa" w:w="70"/>
              <w:right w:type="dxa" w:w="110"/>
            </w:tcMar>
            <w:vAlign w:val="center"/>
          </w:tcPr>
          <w:p>
            <w:r>
              <w:rPr>
                <w:rFonts w:ascii="Calibri" w:cs="Calibri" w:eastAsia="Calibri" w:hAnsi="Calibri"/>
                <w:b w:val="false"/>
                <w:bCs w:val="false"/>
                <w:color w:val="3B3B3B"/>
                <w:sz w:val="18"/>
                <w:szCs w:val="18"/>
              </w:rPr>
              <w:t xml:space="preserve">15%, itemised separately on every invoice, where LMA is a registered VAT vendor</w:t>
            </w:r>
          </w:p>
        </w:tc>
      </w:tr>
    </w:tbl>
    <w:p>
      <w:pPr>
        <w:spacing w:after="140" w:line="270"/>
        <w:jc w:val="both"/>
      </w:pPr>
      <w:r>
        <w:rPr>
          <w:rFonts w:ascii="Calibri" w:cs="Calibri" w:eastAsia="Calibri" w:hAnsi="Calibri"/>
          <w:color w:val="3B3B3B"/>
          <w:sz w:val="20"/>
          <w:szCs w:val="20"/>
        </w:rPr>
        <w:t xml:space="preserve">All client funds — deposits, settlement proceeds, and disbursement advances — are held in LMA's trust account, kept strictly separate from the firm's business account, and accounted for in line with section 87 of the Legal Practice Act and the firm's annual trust account audit. Professional fees are only transferred from trust to business account once properly billed.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B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2026-09-17T05:17:16.987Z</dcterms:created>
  <dcterms:modified xsi:type="dcterms:W3CDTF">2026-09-17T05:17:16.997Z</dcterms:modified>
</cp:coreProperties>
</file>

<file path=docProps/custom.xml><?xml version="1.0" encoding="utf-8"?>
<Properties xmlns="http://schemas.openxmlformats.org/officeDocument/2006/custom-properties" xmlns:vt="http://schemas.openxmlformats.org/officeDocument/2006/docPropsVTypes"/>
</file>