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近期 Codex 已完成功能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085"/>
          <w:sz w:val="22"/>
        </w:rPr>
        <w:t>腾讯地图车机互操作预研项目 · interop-client</w:t>
      </w:r>
    </w:p>
    <w:p>
      <w:pPr>
        <w:pStyle w:val="Heading1"/>
      </w:pPr>
      <w:r>
        <w:t>已完成的功能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完成腾讯地图 App 路线规划调起，支持驾车、公交、步行和骑行。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支持设置起点、终点和途经点，并可通过 POI ID 进行地点定位。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支持使用手机当前位置作为起点，定位坐标转换为 GCJ-02。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接入腾讯地点搜索，可搜索地点并选择南门、北门、停车场等具体入口。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支持修改途经点和终点，修改后重新生成路线并打开腾讯地图。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支持路线策略 policy：驾车 0/1/2，公交 0/1/2/3，缺省为 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支持外部 App 或车机服务通过 Intent 调用路线打开、插入途经点、修改终点等功能。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支持周边搜索：qqmap://map/search。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支持城市范围搜索：qqmap://map/search。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支持探索周边：qqmap://map/nearby。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支持地点标注：qqmap://map/marker。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支持坐标生成地点名称：qqmap://map/geocoder。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在测试页面增加出行方式、路线策略和上述地图工具功能的操作入口。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222222"/>
          <w:sz w:val="22"/>
        </w:rPr>
        <w:t>完成 interop-client Debug APK 离线构建验证。</w:t>
      </w:r>
    </w:p>
    <w:p>
      <w:pPr>
        <w:pStyle w:val="Heading1"/>
      </w:pPr>
      <w:r>
        <w:t>当前能力说明</w:t>
      </w:r>
    </w:p>
    <w:p>
      <w:r>
        <w:rPr>
          <w:rFonts w:ascii="Microsoft YaHei" w:hAnsi="Microsoft YaHei" w:eastAsia="Microsoft YaHei"/>
          <w:b w:val="0"/>
          <w:color w:val="222222"/>
          <w:sz w:val="22"/>
        </w:rPr>
        <w:t>当前方案通过外部 URI 调起腾讯地图 App。途经点、终点或路线策略变化时，会重新生成路线并重新打开腾讯地图；暂不支持持续控制腾讯地图内部导航、候选路线切换、导航中无缝插点、偏航回调和到达回调。</w:t>
      </w:r>
    </w:p>
    <w:p>
      <w:r>
        <w:br w:type="page"/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近期 Codex 使用情况续报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667085"/>
          <w:sz w:val="22"/>
        </w:rPr>
        <w:t>拾光记（Chronicles of Time）项目 · 更新至 2026 年 8 月 20 日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一、近期使用概况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color w:val="222222"/>
          <w:sz w:val="22"/>
        </w:rPr>
        <w:t>近期主要使用 Codex 对“拾光记”项目进行持续开发和联调。工作范围覆盖 Vue 用户端、Vue 管理端、Spring Cloud 后端、MySQL 数据库、WebSocket 实时通信以及本地启动与构建流程。使用方式已从单点代码补全扩展到需求分析、跨模块实现、故障定位、数据库迁移、接口验证和界面回归检查等完整研发环节。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二、已完成的核心工作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1. 后端启动与访问链路整合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梳理多个 Spring Cloud 服务的启动依赖和端口关系，将原本需要逐个启动的后端模块归并为少量统一主程序入口，降低本地运行成本。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修复前后端端口、网关转发和 CORS 预检问题，统一通过网关访问登录、用户和业务接口。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完善登录异常返回：用户不存在、账号或密码错误时返回明确提示，不再统一表现为 500 错误。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完成管理员账号权限调整，并将 ceshi003 提升为 SUPER_ADMIN。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2. 首页、个人主页与成长记录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首页成长轨迹调整为真实用户数据，时光轴仅展示最近 10 条；项目节点区域展示用户在系统中的全部节点，时间精确到天。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节点列表支持无人操作时自动滚动，鼠标悬停后暂停自动滚动并允许滚轮浏览，解决偶发空白和内容不显示问题。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主页寄语改为用户可发表内容，每 5 秒自动切换，并复用项目现有打字机效果。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个人信息页面增加寄语记录管理，支持新增、编辑和删除，并可将寄语纳入每日任务。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主页成长记录数等统计信息改为真实数据，个人主页补充教育经历展示。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3. 成长管理与效率功能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新增成长周报，自动汇总打卡、任务、错题、考试成绩、文章和目标进度，并支持生成下周计划。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完善持久化通知中心，覆盖逾期任务、错题复习、面试和打卡提醒，支持已读、全部已读和免打扰设置。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增加智能今日计划，根据截止日期、薄弱知识点和目标进度推荐当天优先事项，并可一键加入今日工作台。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增加高中、大学和职场阶段个性化能力，按用户阶段控制首页及导航内容，减少信息拥挤。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完善全局搜索，覆盖文章、成长记录、错题、考试、任务、目标及导航入口，并支持 Ctrl+K 快速打开。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补充周/月日历、数据导出与备份、成就分享卡片等成长档案能力。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调整今日工作台入口位置，取消考试导航下拉结构，使高频功能入口更直接。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4. 在线聊天与实时通知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聊天表情点击后先插入输入框；文件选择后进入待发送区，由用户确认后统一发送，避免误发。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消息置顶后按钮自动切换为“取消置顶”，并完善置顶状态同步。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修正已读逻辑：用户自己发送的消息不再计入自己的已读统计。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增加消息删除和撤回功能，撤回时限为 2 分钟，并通过 WebSocket 同步撤回状态。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将系统通知、聊天新消息等实时提醒接入 WebSocket，减少依赖轮询造成的延迟和请求开销。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5. 高中与大学阶段功能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修复高中“规划未来”中的智能推荐和模拟录取数据首次进入不显示、必须刷新后才加载的问题。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大学模块新增社团、学生会、协会、志愿组织及校园事务管理，支持完整的新增、查询、编辑和删除流程。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校园组织相关功能接入真实后端接口和数据库表，完成真实 API 与 CRUD 联调验证。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6. 内容发布与界面体验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修复文章发布页 Markdown 预览样式不生效问题，使一级标题等语法能够在预览区正确呈现。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统一导航栏、今日工作台、在线聊天和今日任务的暗色主题，深色模式改为更纯粹的黑色视觉。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重新设计用户端和管理员端操作提示系统，统一成功、失败、警告、信息、加载状态，以及确认框和输入弹窗的视觉与交互。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操作提示统一通过 messageApi 调用，并适配亮色、暗色和移动端，减少各页面提示样式不一致的问题。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7. 管理员端真实数据与管理能力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将管理员端仪表盘和各业务页面由模拟数据切换为真实接口数据。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管理员端不仅支持查看数据，还补充用户、角色、权限、内容、任务、聊天、通知及阶段业务数据的 CRUD 管理能力。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完善管理员登录地址和代理配置，修复前端请求落到开发端口并返回 404 的问题。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用户端与管理端共用一致的操作反馈规范，并保留各自品牌主题的视觉差异。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36536B"/>
          <w:sz w:val="24"/>
        </w:rPr>
        <w:t>8. 数据库、构建与验证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执行聊天消息隐藏、校园组织和校园活动等数据库迁移，补齐新增功能所需数据结构。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完成前端 ESLint、Oxlint、生产构建检查，以及后端 Maven 编译验证。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对真实 API、校园组织 CRUD、聊天删除与撤回等关键流程进行实际联调，并清理验证过程中产生的测试数据。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三、Codex 的近期使用方式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代码库理解：先检索路由、服务、接口和数据表关系，再按现有项目模式实施修改，避免引入重复架构。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跨端协作：同一需求同时处理用户端、管理端、网关、微服务和数据库，保证接口契约与页面行为一致。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故障诊断：结合浏览器报错、网络请求、服务日志和源代码定位 CORS、404、500、首屏加载及状态同步问题。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持续验证：修改后执行静态检查、编译、接口调用和页面检查，并根据实际效果继续迭代。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需求沉淀：将零散需求整理为成长周报、通知中心、智能计划、阶段个性化和全局搜索等可持续演进的产品能力。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四、阶段成效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本地启动步骤明显减少，前后端访问链路更清晰，日常开发和排错效率得到提升。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核心页面逐步从演示数据转为真实数据，用户操作、后台管理和数据库之间形成完整闭环。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聊天、通知、任务、成长档案和阶段功能的联动增强，项目从功能集合向个人成长平台演进。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用户端与管理员端的交互反馈、暗色主题和移动端表现更加统一。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五、下一步工作建议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补充登录、任务、聊天、通知、文章发布和管理员 CRUD 的自动化回归测试，降低持续迭代中的回归风险。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继续完善权限边界和审计日志，重点验证管理员数据修改、消息删除和敏感操作。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对 WebSocket 断线重连、离线消息补偿和多端同步进行压力与稳定性验证。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建立数据库定期备份和用户数据导出恢复流程，并完善迁移脚本版本管理。</w:t>
      </w:r>
    </w:p>
    <w:p>
      <w:pPr>
        <w:pStyle w:val="ListBullet"/>
        <w:keepLines/>
        <w:spacing w:line="300" w:lineRule="auto" w:after="60"/>
      </w:pPr>
      <w:r>
        <w:rPr>
          <w:rFonts w:ascii="Microsoft YaHei" w:hAnsi="Microsoft YaHei" w:eastAsia="Microsoft YaHei"/>
          <w:color w:val="222222"/>
          <w:sz w:val="22"/>
        </w:rPr>
        <w:t>持续优化首页大数据量节点滚动、全局搜索和管理端表格的加载性能。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0B2545"/>
          <w:sz w:val="30"/>
        </w:rPr>
        <w:t>当前能力说明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color w:val="222222"/>
          <w:sz w:val="22"/>
        </w:rPr>
        <w:t>当前 Codex 已能在该项目中承担需求拆解、代码修改、接口联调、数据库迁移和质量验证等连续工作。涉及真实生产数据、权限变更、批量删除或部署发布时，仍应由项目负责人确认目标环境和操作范围，并保留必要的备份与审计记录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3ff6d6409c6411f180000f2500000f25" pid="2" fmtid="{D5CDD505-2E9C-101B-9397-08002B2CF9AE}">
    <vt:lpwstr>CWME3X8Riw/KmcDY3bRsS4Z+bGbARvcqNWx4g3Xd2sRpWzT0RzL7qQtHxA42cf4IuyRQ2o5KU40LUuCpLOEPQbR+Q==</vt:lpwstr>
  </property>
</Properties>
</file>