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3d376862b980902a605971ac3500234a3b4c95f"/>
    <w:p>
      <w:pPr>
        <w:pStyle w:val="Heading1"/>
      </w:pPr>
      <w:r>
        <w:t xml:space="preserve">From Dysbiosis to Actionable Ecology: Host-Associated Microbiomes in Veterinary Medicine</w:t>
      </w:r>
    </w:p>
    <w:p>
      <w:pPr>
        <w:pStyle w:val="FirstParagraph"/>
      </w:pPr>
      <w:r>
        <w:rPr>
          <w:bCs/>
          <w:b/>
        </w:rPr>
        <w:t xml:space="preserve">Manuscript type:</w:t>
      </w:r>
      <w:r>
        <w:t xml:space="preserve"> </w:t>
      </w:r>
      <w:r>
        <w:t xml:space="preserve">Review</w:t>
      </w:r>
      <w:r>
        <w:br/>
      </w:r>
      <w:r>
        <w:rPr>
          <w:bCs/>
          <w:b/>
        </w:rPr>
        <w:t xml:space="preserve">Target journal:</w:t>
      </w:r>
      <w:r>
        <w:t xml:space="preserve"> </w:t>
      </w:r>
      <w:r>
        <w:rPr>
          <w:iCs/>
          <w:i/>
        </w:rPr>
        <w:t xml:space="preserve">Animals</w:t>
      </w:r>
      <w:r>
        <w:br/>
      </w:r>
      <w:r>
        <w:rPr>
          <w:bCs/>
          <w:b/>
        </w:rPr>
        <w:t xml:space="preserve">Authors:</w:t>
      </w:r>
      <w:r>
        <w:t xml:space="preserve"> </w:t>
      </w:r>
      <w:r>
        <w:rPr>
          <w:iCs/>
          <w:i/>
        </w:rPr>
        <w:t xml:space="preserve">(To be completed before submission)</w:t>
      </w:r>
      <w:r>
        <w:br/>
      </w:r>
      <w:r>
        <w:rPr>
          <w:bCs/>
          <w:b/>
        </w:rPr>
        <w:t xml:space="preserve">Affiliations:</w:t>
      </w:r>
      <w:r>
        <w:t xml:space="preserve"> </w:t>
      </w:r>
      <w:r>
        <w:rPr>
          <w:iCs/>
          <w:i/>
        </w:rPr>
        <w:t xml:space="preserve">(To be completed before submission)</w:t>
      </w:r>
      <w:r>
        <w:br/>
      </w:r>
      <w:r>
        <w:rPr>
          <w:bCs/>
          <w:b/>
        </w:rPr>
        <w:t xml:space="preserve">Correspondence:</w:t>
      </w:r>
      <w:r>
        <w:t xml:space="preserve"> </w:t>
      </w:r>
      <w:r>
        <w:rPr>
          <w:iCs/>
          <w:i/>
        </w:rPr>
        <w:t xml:space="preserve">(To be completed before submission)</w:t>
      </w:r>
    </w:p>
    <w:bookmarkStart w:id="20" w:name="abstract"/>
    <w:p>
      <w:pPr>
        <w:pStyle w:val="Heading2"/>
      </w:pPr>
      <w:r>
        <w:t xml:space="preserve">Abstract</w:t>
      </w:r>
    </w:p>
    <w:p>
      <w:pPr>
        <w:pStyle w:val="FirstParagraph"/>
      </w:pPr>
      <w:r>
        <w:t xml:space="preserve">Veterinary microbiome research has matured from early descriptive surveys into a discipline that can—under the right conditions—alter diagnosis, treatment selection, antimicrobial stewardship, and biosecurity policy. Yet the field still generates more claims than actionable evidence, largely because many studies describe community differences without measuring function, lack longitudinal or interventional designs, or extrapolate findings across species without validation. This review critically appraises veterinary microbiome science across companion animals, horses, ruminants, poultry, and aquaculture, with four goals beyond earlier treatment of the topic. First, we document how recent controlled studies—including randomised fecal microbiota transplantation (FMT) trials in dogs and cats, longitudinal antimicrobial perturbation studies in horses, multi-omic feed-efficiency work in ruminants, and engineered live biotherapeutic experiments in poultry—have raised the evidentiary bar. Second, we assess the translational lessons from human microbiome medicine: the regulatory pathway for microbiome-based products (REBYOTA, VOWST/SER-109, VE303), the international consensus on clinical microbiome testing, and the broader insight that descriptive associations precede—but do not substitute for—standardised, indication-specific therapeutic development. Third, we analyse zoonotic and One Health dimensions including gastric</w:t>
      </w:r>
      <w:r>
        <w:t xml:space="preserve"> </w:t>
      </w:r>
      <w:r>
        <w:rPr>
          <w:iCs/>
          <w:i/>
        </w:rPr>
        <w:t xml:space="preserve">Helicobacter</w:t>
      </w:r>
      <w:r>
        <w:t xml:space="preserve"> </w:t>
      </w:r>
      <w:r>
        <w:t xml:space="preserve">spp.,</w:t>
      </w:r>
      <w:r>
        <w:t xml:space="preserve"> </w:t>
      </w:r>
      <w:r>
        <w:rPr>
          <w:iCs/>
          <w:i/>
        </w:rPr>
        <w:t xml:space="preserve">Clostridioides difficile</w:t>
      </w:r>
      <w:r>
        <w:t xml:space="preserve">, multidrug-resistant</w:t>
      </w:r>
      <w:r>
        <w:t xml:space="preserve"> </w:t>
      </w:r>
      <w:r>
        <w:rPr>
          <w:iCs/>
          <w:i/>
        </w:rPr>
        <w:t xml:space="preserve">Escherichia coli</w:t>
      </w:r>
      <w:r>
        <w:t xml:space="preserve">,</w:t>
      </w:r>
      <w:r>
        <w:t xml:space="preserve"> </w:t>
      </w:r>
      <w:r>
        <w:rPr>
          <w:iCs/>
          <w:i/>
        </w:rPr>
        <w:t xml:space="preserve">Streptococcus canis</w:t>
      </w:r>
      <w:r>
        <w:t xml:space="preserve"> </w:t>
      </w:r>
      <w:r>
        <w:t xml:space="preserve">and</w:t>
      </w:r>
      <w:r>
        <w:t xml:space="preserve"> </w:t>
      </w:r>
      <w:r>
        <w:rPr>
          <w:iCs/>
          <w:i/>
        </w:rPr>
        <w:t xml:space="preserve">S. suis</w:t>
      </w:r>
      <w:r>
        <w:t xml:space="preserve">, methicillin-resistant</w:t>
      </w:r>
      <w:r>
        <w:t xml:space="preserve"> </w:t>
      </w:r>
      <w:r>
        <w:rPr>
          <w:iCs/>
          <w:i/>
        </w:rPr>
        <w:t xml:space="preserve">Staphylococcus aureus</w:t>
      </w:r>
      <w:r>
        <w:t xml:space="preserve"> </w:t>
      </w:r>
      <w:r>
        <w:t xml:space="preserve">and</w:t>
      </w:r>
      <w:r>
        <w:t xml:space="preserve"> </w:t>
      </w:r>
      <w:r>
        <w:rPr>
          <w:iCs/>
          <w:i/>
        </w:rPr>
        <w:t xml:space="preserve">S. pseudintermedius</w:t>
      </w:r>
      <w:r>
        <w:t xml:space="preserve">, and the plasmid-borne resistome as a shared animal–human–environment ecosystem. Fourth, we propose a revised framework for veterinary microbiome study design that prioritises clinical decision points, functional endpoints, strain and resistance-gene resolution, and transparent reporting. Our central argument remains: the field advances when it replaces the generic concept of</w:t>
      </w:r>
      <w:r>
        <w:t xml:space="preserve"> </w:t>
      </w:r>
      <w:r>
        <w:t xml:space="preserve">“</w:t>
      </w:r>
      <w:r>
        <w:t xml:space="preserve">dysbiosis</w:t>
      </w:r>
      <w:r>
        <w:t xml:space="preserve">”</w:t>
      </w:r>
      <w:r>
        <w:t xml:space="preserve"> </w:t>
      </w:r>
      <w:r>
        <w:t xml:space="preserve">with ecologically and functionally grounded interpretations of specific perturbations in defined host-context combinations.</w:t>
      </w:r>
    </w:p>
    <w:p>
      <w:pPr>
        <w:pStyle w:val="BodyText"/>
      </w:pPr>
      <w:r>
        <w:rPr>
          <w:bCs/>
          <w:b/>
        </w:rPr>
        <w:t xml:space="preserve">Keywords:</w:t>
      </w:r>
      <w:r>
        <w:t xml:space="preserve"> </w:t>
      </w:r>
      <w:r>
        <w:t xml:space="preserve">veterinary microbiome; dysbiosis; chronic enteropathy; fecal microbiota transplantation; antimicrobial resistance; One Health; metabolomics; companion animals; livestock; aquaculture; Clostridioides difficile; Helicobacter; resistome; live biotherapeutic products</w:t>
      </w:r>
    </w:p>
    <w:p>
      <w:r>
        <w:pict>
          <v:rect style="width:0;height:1.5pt" o:hralign="center" o:hrstd="t" o:hr="t"/>
        </w:pict>
      </w:r>
    </w:p>
    <w:bookmarkEnd w:id="20"/>
    <w:bookmarkStart w:id="25" w:name="X8138bdaa02444f29697378749d8d76efca144aa"/>
    <w:p>
      <w:pPr>
        <w:pStyle w:val="Heading2"/>
      </w:pPr>
      <w:r>
        <w:t xml:space="preserve">1. Introduction: From Dysbiosis Claims to Accountable Microbiome Science</w:t>
      </w:r>
    </w:p>
    <w:bookmarkStart w:id="21" w:name="X62852049a983c09e8825d75aa6a42fffe791af7"/>
    <w:p>
      <w:pPr>
        <w:pStyle w:val="Heading3"/>
      </w:pPr>
      <w:r>
        <w:t xml:space="preserve">1.1 The growth of veterinary microbiome research</w:t>
      </w:r>
    </w:p>
    <w:p>
      <w:pPr>
        <w:pStyle w:val="FirstParagraph"/>
      </w:pPr>
      <w:r>
        <w:t xml:space="preserve">Over the past two decades, culture-independent sequencing has revealed the extraordinary density and diversity of microbial communities in the gut, skin, respiratory tract, oral cavity, and reproductive tract of domestic and production animals [1,2,41,48]. The resulting literature has transformed veterinary gastroenterology, production medicine, and infectious-disease thinking. Dogs and cats now have standardised qPCR-based dysbiosis indices [1,42], longitudinal FMT trials [11–13], and multi-omic characterisations of chronic enteropathy that rival equivalent human data in detail [2,3,44,45]. Horses are among the best-studied hindgut fermenters for antibiotic-associated microbiome disruption [19,20]. Ruminant microbiome research has produced genome-resolved catalogues of rumen archaea [26] and mechanistic links between microbial networks and feed efficiency [23–25,55]. Poultry science has moved from describing cecal taxa to engineering protective bacteria that reduce necrotic enteritis [31]. Aquaculture has begun to integrate host, water, and feed microbiomes into unified AMR risk models [34].</w:t>
      </w:r>
    </w:p>
    <w:bookmarkEnd w:id="21"/>
    <w:bookmarkStart w:id="22" w:name="X3e073fc5f084a59ae6e42328f4da5c1ef06d2fc"/>
    <w:p>
      <w:pPr>
        <w:pStyle w:val="Heading3"/>
      </w:pPr>
      <w:r>
        <w:t xml:space="preserve">1.2 Persistent gaps between description and action</w:t>
      </w:r>
    </w:p>
    <w:p>
      <w:pPr>
        <w:pStyle w:val="FirstParagraph"/>
      </w:pPr>
      <w:r>
        <w:t xml:space="preserve">Despite this progress, a critical gap remains between microbial description and defensible clinical or management action. Many veterinary microbiome studies still: (i) use cross-sectional 16S rRNA amplicon sequencing without functional measurement; (ii) present relative-abundance data without adjusting for compositionality, absolute cell density, or competing explanatory variables; (iii) label microbial differences as</w:t>
      </w:r>
      <w:r>
        <w:t xml:space="preserve"> </w:t>
      </w:r>
      <w:r>
        <w:t xml:space="preserve">“</w:t>
      </w:r>
      <w:r>
        <w:t xml:space="preserve">dysbiosis</w:t>
      </w:r>
      <w:r>
        <w:t xml:space="preserve">”</w:t>
      </w:r>
      <w:r>
        <w:t xml:space="preserve"> </w:t>
      </w:r>
      <w:r>
        <w:t xml:space="preserve">without specifying what ecological function is disturbed; (iv) propose interventions (commercial probiotics, supplements, microbiome tests) without species-matched, indication-specific evidence. The problem is not unique to veterinary medicine—analogous critique has been levelled at human microbiome research [40,73,76]—but it is particularly acute in veterinary practice because companion-animal owners, livestock producers, and aquaculturists face aggressive commercial marketing of unvalidated microbiome products.</w:t>
      </w:r>
    </w:p>
    <w:bookmarkEnd w:id="22"/>
    <w:bookmarkStart w:id="23" w:name="the-one-health-dimension"/>
    <w:p>
      <w:pPr>
        <w:pStyle w:val="Heading3"/>
      </w:pPr>
      <w:r>
        <w:t xml:space="preserve">1.3 The One Health dimension</w:t>
      </w:r>
    </w:p>
    <w:p>
      <w:pPr>
        <w:pStyle w:val="FirstParagraph"/>
      </w:pPr>
      <w:r>
        <w:t xml:space="preserve">Animal microbiomes are not isolated from human health. Companion animals share households, antimicrobial classes, and clinical environments with their owners [103,104]. Food animals produce manure that enriches soil, water, and food-chain resistomes [5,6,98]. Zoonotic pathobionts—</w:t>
      </w:r>
      <w:r>
        <w:rPr>
          <w:iCs/>
          <w:i/>
        </w:rPr>
        <w:t xml:space="preserve">Clostridioides difficile</w:t>
      </w:r>
      <w:r>
        <w:t xml:space="preserve">, extraintestinal pathogenic</w:t>
      </w:r>
      <w:r>
        <w:t xml:space="preserve"> </w:t>
      </w:r>
      <w:r>
        <w:rPr>
          <w:iCs/>
          <w:i/>
        </w:rPr>
        <w:t xml:space="preserve">Escherichia coli</w:t>
      </w:r>
      <w:r>
        <w:t xml:space="preserve">, gastric</w:t>
      </w:r>
      <w:r>
        <w:t xml:space="preserve"> </w:t>
      </w:r>
      <w:r>
        <w:rPr>
          <w:iCs/>
          <w:i/>
        </w:rPr>
        <w:t xml:space="preserve">Helicobacter</w:t>
      </w:r>
      <w:r>
        <w:t xml:space="preserve"> </w:t>
      </w:r>
      <w:r>
        <w:t xml:space="preserve">spp.,</w:t>
      </w:r>
      <w:r>
        <w:t xml:space="preserve"> </w:t>
      </w:r>
      <w:r>
        <w:rPr>
          <w:iCs/>
          <w:i/>
        </w:rPr>
        <w:t xml:space="preserve">Streptococcus suis</w:t>
      </w:r>
      <w:r>
        <w:t xml:space="preserve">, methicillin-resistant staphylococci—circulate between animals, humans, and environments in ways that microbiome and resistome surveillance can begin to document but rarely fully resolve [85–91,103–110]. Human microbiome medicine has developed regulatory and methodological standards—defined therapeutic products, controlled trial endpoints, clinical validity frameworks for microbiome tests—that veterinary medicine can learn from without uncritically importing [35,40,67–72].</w:t>
      </w:r>
    </w:p>
    <w:bookmarkEnd w:id="23"/>
    <w:bookmarkStart w:id="24" w:name="scope-and-structure"/>
    <w:p>
      <w:pPr>
        <w:pStyle w:val="Heading3"/>
      </w:pPr>
      <w:r>
        <w:t xml:space="preserve">1.4 Scope and structure</w:t>
      </w:r>
    </w:p>
    <w:p>
      <w:pPr>
        <w:pStyle w:val="FirstParagraph"/>
      </w:pPr>
      <w:r>
        <w:t xml:space="preserve">This review is structured in eight sections. Section 2 discusses the evidentiary standard required before veterinary microbiome results inform decisions. Section 3 provides species-specific critical appraisals across companion animals, horses, ruminants, poultry, and aquaculture. Section 4 addresses diagnostics, diet, probiotics, prebiotics, synbiotics, FMT, and emerging live biotherapeutics. Section 5 examines human microbiome medicine as a translational model for veterinary practice. Section 6 analyses zoonotic pathobionts, AMR, and the animal resistome. Section 7 proposes study-design priorities. Section 8 concludes. Three figure placeholders with detailed image-generation prompts, and two summary tables beyond those in earlier sections, are provided at the end.</w:t>
      </w:r>
    </w:p>
    <w:p>
      <w:r>
        <w:pict>
          <v:rect style="width:0;height:1.5pt" o:hralign="center" o:hrstd="t" o:hr="t"/>
        </w:pict>
      </w:r>
    </w:p>
    <w:bookmarkEnd w:id="24"/>
    <w:bookmarkEnd w:id="25"/>
    <w:bookmarkStart w:id="29" w:name="X303835be836e5eb8524589adc14640213f68b4a"/>
    <w:p>
      <w:pPr>
        <w:pStyle w:val="Heading2"/>
      </w:pPr>
      <w:r>
        <w:t xml:space="preserve">2. What Counts as Actionable Veterinary Microbiome Evidence?</w:t>
      </w:r>
    </w:p>
    <w:bookmarkStart w:id="26" w:name="X445b6992acdef571560d7dcd4f53074d1d7fd3d"/>
    <w:p>
      <w:pPr>
        <w:pStyle w:val="Heading3"/>
      </w:pPr>
      <w:r>
        <w:t xml:space="preserve">2.1 From taxonomic difference to clinical utility</w:t>
      </w:r>
    </w:p>
    <w:p>
      <w:pPr>
        <w:pStyle w:val="FirstParagraph"/>
      </w:pPr>
      <w:r>
        <w:t xml:space="preserve">A microbiome result becomes clinically or operationally useful only when it changes interpretation or management beyond what history, examination, routine clinicopathology, imaging, pathology, or production records already provide. In companion animals, this may mean tracking chronic enteropathy activity when diet and antibiotic exposure are already controlled, identifying post-antibiotic perturbation associated with clinical diarrhea, or supporting FMT donor–recipient matching in carefully defined cases [1,42,46]. In livestock and poultry, it may mean identifying microbial functions associated with feed conversion efficiency, methane yield, pathogen colonisation resistance, necrotic enteritis risk, or AMR burden [23–25,28,29,60,61]. In aquaculture, microbiome data are useful only when interpreted as part of a water–feed–host system rather than as an isolated intestinal profile [34,64,65].</w:t>
      </w:r>
    </w:p>
    <w:p>
      <w:pPr>
        <w:pStyle w:val="BodyText"/>
      </w:pPr>
      <w:r>
        <w:t xml:space="preserve">The evidence hierarchy should therefore be stricter than simple case-control association. Cross-sectional 16S rRNA sequencing can identify candidate patterns but is weak evidence for intervention. Stronger evidence comes from longitudinal sampling with repeated measures, experimentally controlled diet or antimicrobial exposure, metagenomics or metabolomics linked to host outcomes, and intervention studies with pre-specified clinical or production endpoints [73,76,134,135]. The canine literature illustrates this progression. A qPCR-based dysbiosis index standardises fecal bacterial measurement and enables trending [1], but its correct role is adjunctive: it identifies a disturbed fecal bacterial pattern but does not explain cause or predict treatment response without clinical and dietary context [41,42]. Metabolomic studies in dogs with chronic or acute gastrointestinal disease add direct biological meaning because bile acids, short-chain fatty acids (SCFAs), and other host-microbial metabolites are closer to epithelial signalling, motility, and inflammatory tone than genus-level abundance plots [2,3,44,47].</w:t>
      </w:r>
    </w:p>
    <w:bookmarkEnd w:id="26"/>
    <w:bookmarkStart w:id="27" w:name="X435043cc167d3b2575ff7908582ae259ed7fca5"/>
    <w:p>
      <w:pPr>
        <w:pStyle w:val="Heading3"/>
      </w:pPr>
      <w:r>
        <w:t xml:space="preserve">2.2 Function is often more informative than membership</w:t>
      </w:r>
    </w:p>
    <w:p>
      <w:pPr>
        <w:pStyle w:val="FirstParagraph"/>
      </w:pPr>
      <w:r>
        <w:t xml:space="preserve">Microbiome studies often emphasise alpha diversity, beta diversity, and relative abundance. These metrics are useful but insufficient. Increased diversity is not always beneficial, and reduced diversity is not always pathological; a high-functioning rumen or poultry cecal ecosystem may be metabolically specialised rather than maximally diverse [55,60,62]. Conversely, a community can appear taxonomically stable while its metabolite output, AMR gene carriage, or pathogen-resistance capacity shifts substantially [108,109,133].</w:t>
      </w:r>
    </w:p>
    <w:p>
      <w:pPr>
        <w:pStyle w:val="BodyText"/>
      </w:pPr>
      <w:r>
        <w:t xml:space="preserve">Functional readouts matter in at least five veterinary contexts. First, bile acid transformation is clinically relevant to canine and feline enteropathy because microbial deconjugation and conversion of primary to secondary bile acids affects epithelial signalling, motility, and pathogen resistance [2,4,44,47]. Second, SCFA production links substrate flow to host energy and mucosal function in horses, ruminants, poultry, and fish [53,54,60,117]. Third, resistome analysis is essential when antimicrobial exposure, herd- or flock-level stewardship, hospital environments, or food-chain interfaces are considered [5,6,96,108]. Fourth, strain tracking matters for FMT, probiotics, phage therapy, and transmission studies because genus-level similarity does not prove engraftment, persistence, or genetic mobility [134]. Fifth, absolute quantification—not merely relative abundance—is required when asking whether a taxon has been lost or whether its relative share has changed due to expansion of competitors [42,135].</w:t>
      </w:r>
    </w:p>
    <w:bookmarkEnd w:id="27"/>
    <w:bookmarkStart w:id="28" w:name="X82f0195747eec1b962606dbf977c1ff062a78f9"/>
    <w:p>
      <w:pPr>
        <w:pStyle w:val="Heading3"/>
      </w:pPr>
      <w:r>
        <w:t xml:space="preserve">2.3 Sampling, metadata, and reporting standards</w:t>
      </w:r>
    </w:p>
    <w:p>
      <w:pPr>
        <w:pStyle w:val="FirstParagraph"/>
      </w:pPr>
      <w:r>
        <w:t xml:space="preserve">Veterinary samples are not interchangeable. Feces, rectal swabs, mucosal biopsies, rumen fluid, cecal content, skin swabs, milk, litter, tank water, and feed each answer different questions [1,8,39,48,122]. Feces are convenient but may poorly represent mucosa or proximal gut compartments; in companion animals with mucosal disease this distinction matters [46,124,125]. In livestock and poultry, pen, flock, barn, diet batch, litter, and water-line effects can exceed individual-animal effects [62,63]. In horses, management and diet history can dominate fecal microbial variation more than clinical disease status alone [21,53]. In aquaculture, host-associated microbial data are difficult to interpret without water quality, system design, stocking density, and pathogen pressure metadata [65,66,115].</w:t>
      </w:r>
    </w:p>
    <w:p>
      <w:pPr>
        <w:pStyle w:val="BodyText"/>
      </w:pPr>
      <w:r>
        <w:t xml:space="preserve">At minimum, veterinary microbiome studies should report: species, breed or line, age, sex and neuter status, diet composition and recent changes, antimicrobial/probiotic/prebiotic exposure and timing, housing, geography, clinical phenotype and validated activity score where applicable, sampling compartment, storage conditions and time-to-storage, DNA extraction method and batch effects, sequencing region or platform and run quality metrics, bioinformatic workflow, contamination controls, and statistical handling of compositionality. The STORMS checklist, developed for human microbiome research, is directly applicable to veterinary studies [8]. Failure to report these variables is the most common reason that veterinary microbiome papers cannot be reproduced, pooled, or clinically translated.</w:t>
      </w:r>
    </w:p>
    <w:p>
      <w:pPr>
        <w:pStyle w:val="BodyText"/>
      </w:pPr>
      <w:r>
        <w:rPr>
          <w:bCs/>
          <w:b/>
        </w:rPr>
        <w:t xml:space="preserve">Table 1. Evidence-focused interpretation of common veterinary microbiome approaches.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Best question answered</w:t>
            </w:r>
          </w:p>
        </w:tc>
        <w:tc>
          <w:tcPr/>
          <w:p>
            <w:pPr>
              <w:pStyle w:val="Compact"/>
              <w:jc w:val="left"/>
            </w:pPr>
            <w:r>
              <w:t xml:space="preserve">Strength</w:t>
            </w:r>
          </w:p>
        </w:tc>
        <w:tc>
          <w:tcPr/>
          <w:p>
            <w:pPr>
              <w:pStyle w:val="Compact"/>
              <w:jc w:val="left"/>
            </w:pPr>
            <w:r>
              <w:t xml:space="preserve">Weakness that commonly causes overclaiming</w:t>
            </w:r>
          </w:p>
        </w:tc>
        <w:tc>
          <w:tcPr/>
          <w:p>
            <w:pPr>
              <w:pStyle w:val="Compact"/>
              <w:jc w:val="left"/>
            </w:pPr>
            <w:r>
              <w:t xml:space="preserve">Veterinary use most likely to be defensible</w:t>
            </w:r>
          </w:p>
        </w:tc>
      </w:tr>
      <w:tr>
        <w:tc>
          <w:tcPr/>
          <w:p>
            <w:pPr>
              <w:pStyle w:val="Compact"/>
              <w:jc w:val="left"/>
            </w:pPr>
            <w:r>
              <w:t xml:space="preserve">16S rRNA amplicon sequencing</w:t>
            </w:r>
          </w:p>
        </w:tc>
        <w:tc>
          <w:tcPr/>
          <w:p>
            <w:pPr>
              <w:pStyle w:val="Compact"/>
              <w:jc w:val="left"/>
            </w:pPr>
            <w:r>
              <w:t xml:space="preserve">Which broad bacterial groups differ?</w:t>
            </w:r>
          </w:p>
        </w:tc>
        <w:tc>
          <w:tcPr/>
          <w:p>
            <w:pPr>
              <w:pStyle w:val="Compact"/>
              <w:jc w:val="left"/>
            </w:pPr>
            <w:r>
              <w:t xml:space="preserve">Scalable and inexpensive</w:t>
            </w:r>
          </w:p>
        </w:tc>
        <w:tc>
          <w:tcPr/>
          <w:p>
            <w:pPr>
              <w:pStyle w:val="Compact"/>
              <w:jc w:val="left"/>
            </w:pPr>
            <w:r>
              <w:t xml:space="preserve">Limited species/strain resolution; weak functional inference; compositional bias</w:t>
            </w:r>
          </w:p>
        </w:tc>
        <w:tc>
          <w:tcPr/>
          <w:p>
            <w:pPr>
              <w:pStyle w:val="Compact"/>
              <w:jc w:val="left"/>
            </w:pPr>
            <w:r>
              <w:t xml:space="preserve">Discovery cohorts, surveillance, longitudinal disturbance tracking</w:t>
            </w:r>
          </w:p>
        </w:tc>
      </w:tr>
      <w:tr>
        <w:tc>
          <w:tcPr/>
          <w:p>
            <w:pPr>
              <w:pStyle w:val="Compact"/>
              <w:jc w:val="left"/>
            </w:pPr>
            <w:r>
              <w:t xml:space="preserve">qPCR panels / dysbiosis indices</w:t>
            </w:r>
          </w:p>
        </w:tc>
        <w:tc>
          <w:tcPr/>
          <w:p>
            <w:pPr>
              <w:pStyle w:val="Compact"/>
              <w:jc w:val="left"/>
            </w:pPr>
            <w:r>
              <w:t xml:space="preserve">Are predefined bacterial targets shifted?</w:t>
            </w:r>
          </w:p>
        </w:tc>
        <w:tc>
          <w:tcPr/>
          <w:p>
            <w:pPr>
              <w:pStyle w:val="Compact"/>
              <w:jc w:val="left"/>
            </w:pPr>
            <w:r>
              <w:t xml:space="preserve">Standardised, quantitative, trendable</w:t>
            </w:r>
          </w:p>
        </w:tc>
        <w:tc>
          <w:tcPr/>
          <w:p>
            <w:pPr>
              <w:pStyle w:val="Compact"/>
              <w:jc w:val="left"/>
            </w:pPr>
            <w:r>
              <w:t xml:space="preserve">Narrow target set; cannot diagnose cause</w:t>
            </w:r>
          </w:p>
        </w:tc>
        <w:tc>
          <w:tcPr/>
          <w:p>
            <w:pPr>
              <w:pStyle w:val="Compact"/>
              <w:jc w:val="left"/>
            </w:pPr>
            <w:r>
              <w:t xml:space="preserve">Canine/feline chronic enteropathy monitoring, post-antibiotic recovery tracking</w:t>
            </w:r>
          </w:p>
        </w:tc>
      </w:tr>
      <w:tr>
        <w:tc>
          <w:tcPr/>
          <w:p>
            <w:pPr>
              <w:pStyle w:val="Compact"/>
              <w:jc w:val="left"/>
            </w:pPr>
            <w:r>
              <w:t xml:space="preserve">Shotgun metagenomics</w:t>
            </w:r>
          </w:p>
        </w:tc>
        <w:tc>
          <w:tcPr/>
          <w:p>
            <w:pPr>
              <w:pStyle w:val="Compact"/>
              <w:jc w:val="left"/>
            </w:pPr>
            <w:r>
              <w:t xml:space="preserve">Which taxa, genes, pathways, strains, and AMR genes are present?</w:t>
            </w:r>
          </w:p>
        </w:tc>
        <w:tc>
          <w:tcPr/>
          <w:p>
            <w:pPr>
              <w:pStyle w:val="Compact"/>
              <w:jc w:val="left"/>
            </w:pPr>
            <w:r>
              <w:t xml:space="preserve">Higher resolution; supports resistome and strain analysis</w:t>
            </w:r>
          </w:p>
        </w:tc>
        <w:tc>
          <w:tcPr/>
          <w:p>
            <w:pPr>
              <w:pStyle w:val="Compact"/>
              <w:jc w:val="left"/>
            </w:pPr>
            <w:r>
              <w:t xml:space="preserve">Cost, host DNA, bioinformatics burden</w:t>
            </w:r>
          </w:p>
        </w:tc>
        <w:tc>
          <w:tcPr/>
          <w:p>
            <w:pPr>
              <w:pStyle w:val="Compact"/>
              <w:jc w:val="left"/>
            </w:pPr>
            <w:r>
              <w:t xml:space="preserve">AMR surveillance, FMT engraftment, pathogen exclusion, production-system ecology</w:t>
            </w:r>
          </w:p>
        </w:tc>
      </w:tr>
      <w:tr>
        <w:tc>
          <w:tcPr/>
          <w:p>
            <w:pPr>
              <w:pStyle w:val="Compact"/>
              <w:jc w:val="left"/>
            </w:pPr>
            <w:r>
              <w:t xml:space="preserve">Metabolomics</w:t>
            </w:r>
          </w:p>
        </w:tc>
        <w:tc>
          <w:tcPr/>
          <w:p>
            <w:pPr>
              <w:pStyle w:val="Compact"/>
              <w:jc w:val="left"/>
            </w:pPr>
            <w:r>
              <w:t xml:space="preserve">Which microbial or host-microbial metabolites changed?</w:t>
            </w:r>
          </w:p>
        </w:tc>
        <w:tc>
          <w:tcPr/>
          <w:p>
            <w:pPr>
              <w:pStyle w:val="Compact"/>
              <w:jc w:val="left"/>
            </w:pPr>
            <w:r>
              <w:t xml:space="preserve">Closer to phenotype and mechanism</w:t>
            </w:r>
          </w:p>
        </w:tc>
        <w:tc>
          <w:tcPr/>
          <w:p>
            <w:pPr>
              <w:pStyle w:val="Compact"/>
              <w:jc w:val="left"/>
            </w:pPr>
            <w:r>
              <w:t xml:space="preserve">Sensitive to storage, diet, and host metabolism</w:t>
            </w:r>
          </w:p>
        </w:tc>
        <w:tc>
          <w:tcPr/>
          <w:p>
            <w:pPr>
              <w:pStyle w:val="Compact"/>
              <w:jc w:val="left"/>
            </w:pPr>
            <w:r>
              <w:t xml:space="preserve">Bile acid and SCFA studies, enteropathy phenotyping, feed-efficiency research</w:t>
            </w:r>
          </w:p>
        </w:tc>
      </w:tr>
      <w:tr>
        <w:tc>
          <w:tcPr/>
          <w:p>
            <w:pPr>
              <w:pStyle w:val="Compact"/>
              <w:jc w:val="left"/>
            </w:pPr>
            <w:r>
              <w:t xml:space="preserve">Culture plus WGS</w:t>
            </w:r>
          </w:p>
        </w:tc>
        <w:tc>
          <w:tcPr/>
          <w:p>
            <w:pPr>
              <w:pStyle w:val="Compact"/>
              <w:jc w:val="left"/>
            </w:pPr>
            <w:r>
              <w:t xml:space="preserve">Which viable isolate or strain is present?</w:t>
            </w:r>
          </w:p>
        </w:tc>
        <w:tc>
          <w:tcPr/>
          <w:p>
            <w:pPr>
              <w:pStyle w:val="Compact"/>
              <w:jc w:val="left"/>
            </w:pPr>
            <w:r>
              <w:t xml:space="preserve">Essential for strain identity, safety, and AMR linkage</w:t>
            </w:r>
          </w:p>
        </w:tc>
        <w:tc>
          <w:tcPr/>
          <w:p>
            <w:pPr>
              <w:pStyle w:val="Compact"/>
              <w:jc w:val="left"/>
            </w:pPr>
            <w:r>
              <w:t xml:space="preserve">Misses uncultured organisms</w:t>
            </w:r>
          </w:p>
        </w:tc>
        <w:tc>
          <w:tcPr/>
          <w:p>
            <w:pPr>
              <w:pStyle w:val="Compact"/>
              <w:jc w:val="left"/>
            </w:pPr>
            <w:r>
              <w:t xml:space="preserve">Probiotic validation, pathogen surveillance, phage targeting, hospital outbreaks</w:t>
            </w:r>
          </w:p>
        </w:tc>
      </w:tr>
      <w:tr>
        <w:tc>
          <w:tcPr/>
          <w:p>
            <w:pPr>
              <w:pStyle w:val="Compact"/>
              <w:jc w:val="left"/>
            </w:pPr>
            <w:r>
              <w:t xml:space="preserve">Long-read sequencing</w:t>
            </w:r>
          </w:p>
        </w:tc>
        <w:tc>
          <w:tcPr/>
          <w:p>
            <w:pPr>
              <w:pStyle w:val="Compact"/>
              <w:jc w:val="left"/>
            </w:pPr>
            <w:r>
              <w:t xml:space="preserve">How are AMR genes, plasmids, and genomes linked?</w:t>
            </w:r>
          </w:p>
        </w:tc>
        <w:tc>
          <w:tcPr/>
          <w:p>
            <w:pPr>
              <w:pStyle w:val="Compact"/>
              <w:jc w:val="left"/>
            </w:pPr>
            <w:r>
              <w:t xml:space="preserve">Better assembly and mobile-element resolution</w:t>
            </w:r>
          </w:p>
        </w:tc>
        <w:tc>
          <w:tcPr/>
          <w:p>
            <w:pPr>
              <w:pStyle w:val="Compact"/>
              <w:jc w:val="left"/>
            </w:pPr>
            <w:r>
              <w:t xml:space="preserve">Higher cost and analysis complexity</w:t>
            </w:r>
          </w:p>
        </w:tc>
        <w:tc>
          <w:tcPr/>
          <w:p>
            <w:pPr>
              <w:pStyle w:val="Compact"/>
              <w:jc w:val="left"/>
            </w:pPr>
            <w:r>
              <w:t xml:space="preserve">Plasmid-resolved resistome work, One Health transmission studies</w:t>
            </w:r>
          </w:p>
        </w:tc>
      </w:tr>
    </w:tbl>
    <w:p>
      <w:r>
        <w:pict>
          <v:rect style="width:0;height:1.5pt" o:hralign="center" o:hrstd="t" o:hr="t"/>
        </w:pict>
      </w:r>
    </w:p>
    <w:bookmarkEnd w:id="28"/>
    <w:bookmarkEnd w:id="29"/>
    <w:bookmarkStart w:id="55" w:name="X82c7683366db5114ad67d61d187606a4d523c7e"/>
    <w:p>
      <w:pPr>
        <w:pStyle w:val="Heading2"/>
      </w:pPr>
      <w:r>
        <w:t xml:space="preserve">3. Species-Specific Landscapes and Clinical Implications</w:t>
      </w:r>
    </w:p>
    <w:bookmarkStart w:id="35" w:name="X713be021c10cf3b8fadd3bf099ad1b18a958fd3"/>
    <w:p>
      <w:pPr>
        <w:pStyle w:val="Heading3"/>
      </w:pPr>
      <w:r>
        <w:t xml:space="preserve">3.1 Dogs: the best-developed companion-animal model, but still not a stand-alone diagnostic</w:t>
      </w:r>
    </w:p>
    <w:bookmarkStart w:id="30" w:name="gut-microbiome-composition-in-health"/>
    <w:p>
      <w:pPr>
        <w:pStyle w:val="Heading4"/>
      </w:pPr>
      <w:r>
        <w:t xml:space="preserve">3.1.1 Gut microbiome composition in health</w:t>
      </w:r>
    </w:p>
    <w:p>
      <w:pPr>
        <w:pStyle w:val="FirstParagraph"/>
      </w:pPr>
      <w:r>
        <w:t xml:space="preserve">The dog gut microbiome is dominated by Firmicutes, Bacteroidota, Fusobacteriota, and Proteobacteria, with Actinobacteria and Spirochaetota at lower abundance [9,48,114,123]. A landmark shotgun-metagenomic study cataloguing 1.4 million non-redundant genes from 129 dog fecal metagenomes found that diet had a large, reproducible effect on the canine gut microbiome independent of breed or sex, and that the dog microbiome shared gene content and dietary responsiveness with the human gut microbiome to a greater degree than previously appreciated [10]. This observation has two practical implications: (i) dietary history is a mandatory covariate in any canine microbiome study; (ii) human microbiome tools and databases have partial, but not complete, applicability to dogs.</w:t>
      </w:r>
    </w:p>
    <w:p>
      <w:pPr>
        <w:pStyle w:val="BodyText"/>
      </w:pPr>
      <w:r>
        <w:t xml:space="preserve">The core bacterial community shows broad reproducibility across healthy dogs from multiple countries and diets [9,48,114], but alpha and beta diversity vary substantially with breed, age, diet, antimicrobial exposure, geographic location, and housing [41,48,123]. Obligate anaerobes—including</w:t>
      </w:r>
      <w:r>
        <w:t xml:space="preserve"> </w:t>
      </w:r>
      <w:r>
        <w:rPr>
          <w:iCs/>
          <w:i/>
        </w:rPr>
        <w:t xml:space="preserve">Fusobacterium</w:t>
      </w:r>
      <w:r>
        <w:t xml:space="preserve">,</w:t>
      </w:r>
      <w:r>
        <w:t xml:space="preserve"> </w:t>
      </w:r>
      <w:r>
        <w:rPr>
          <w:iCs/>
          <w:i/>
        </w:rPr>
        <w:t xml:space="preserve">Blautia</w:t>
      </w:r>
      <w:r>
        <w:t xml:space="preserve">,</w:t>
      </w:r>
      <w:r>
        <w:t xml:space="preserve"> </w:t>
      </w:r>
      <w:r>
        <w:rPr>
          <w:iCs/>
          <w:i/>
        </w:rPr>
        <w:t xml:space="preserve">Faecalibacterium</w:t>
      </w:r>
      <w:r>
        <w:t xml:space="preserve">,</w:t>
      </w:r>
      <w:r>
        <w:t xml:space="preserve"> </w:t>
      </w:r>
      <w:r>
        <w:rPr>
          <w:iCs/>
          <w:i/>
        </w:rPr>
        <w:t xml:space="preserve">Ruminococcus</w:t>
      </w:r>
      <w:r>
        <w:t xml:space="preserve">,</w:t>
      </w:r>
      <w:r>
        <w:t xml:space="preserve"> </w:t>
      </w:r>
      <w:r>
        <w:rPr>
          <w:iCs/>
          <w:i/>
        </w:rPr>
        <w:t xml:space="preserve">Clostridiales</w:t>
      </w:r>
      <w:r>
        <w:t xml:space="preserve"> </w:t>
      </w:r>
      <w:r>
        <w:t xml:space="preserve">members, and</w:t>
      </w:r>
      <w:r>
        <w:t xml:space="preserve"> </w:t>
      </w:r>
      <w:r>
        <w:rPr>
          <w:iCs/>
          <w:i/>
        </w:rPr>
        <w:t xml:space="preserve">Prevotella</w:t>
      </w:r>
      <w:r>
        <w:t xml:space="preserve">—are characteristically more abundant in healthy gut communities [9,42,45]. Facultative anaerobes including</w:t>
      </w:r>
      <w:r>
        <w:t xml:space="preserve"> </w:t>
      </w:r>
      <w:r>
        <w:rPr>
          <w:iCs/>
          <w:i/>
        </w:rPr>
        <w:t xml:space="preserve">Escherichia-Shigella</w:t>
      </w:r>
      <w:r>
        <w:t xml:space="preserve">,</w:t>
      </w:r>
      <w:r>
        <w:t xml:space="preserve"> </w:t>
      </w:r>
      <w:r>
        <w:rPr>
          <w:iCs/>
          <w:i/>
        </w:rPr>
        <w:t xml:space="preserve">Streptococcus</w:t>
      </w:r>
      <w:r>
        <w:t xml:space="preserve">, and</w:t>
      </w:r>
      <w:r>
        <w:t xml:space="preserve"> </w:t>
      </w:r>
      <w:r>
        <w:rPr>
          <w:iCs/>
          <w:i/>
        </w:rPr>
        <w:t xml:space="preserve">Enterococcus</w:t>
      </w:r>
      <w:r>
        <w:t xml:space="preserve"> </w:t>
      </w:r>
      <w:r>
        <w:t xml:space="preserve">are often elevated in diseased dogs [9,41,45].</w:t>
      </w:r>
    </w:p>
    <w:bookmarkEnd w:id="30"/>
    <w:bookmarkStart w:id="31" w:name="Xb8d46c9b8cec91d941e42a9f986e706fda56053"/>
    <w:p>
      <w:pPr>
        <w:pStyle w:val="Heading4"/>
      </w:pPr>
      <w:r>
        <w:t xml:space="preserve">3.1.2 Chronic enteropathy: ecosystem-function interpretation</w:t>
      </w:r>
    </w:p>
    <w:p>
      <w:pPr>
        <w:pStyle w:val="FirstParagraph"/>
      </w:pPr>
      <w:r>
        <w:t xml:space="preserve">Dogs develop naturally occurring chronic enteropathies—including diet-responsive enteropathy, antibiotic-responsive enteropathy, and steroid-responsive chronic inflammatory enteropathy—with clinical heterogeneity that parallels human inflammatory bowel disease but is embedded in real-world diet, breed, and owner environments [41,46,124]. The most consistent microbiome finding across studies is a shift from obligate to facultative anaerobes, accompanied by reduced abundance of butyrate producers, disturbance of primary-to-secondary bile acid conversion, and altered SCFA profiles [2,3,44,47,114,125].</w:t>
      </w:r>
    </w:p>
    <w:p>
      <w:pPr>
        <w:pStyle w:val="BodyText"/>
      </w:pPr>
      <w:r>
        <w:t xml:space="preserve">A seminal study in dogs with idiopathic IBD documented altered fecal microbiota composition and altered serum metabolite profiles, including changes consistent with disrupted microbial bile acid metabolism [2]. Dogs with acute diarrhea also show microbial dysbiosis with metabolomic changes, particularly reductions in secondary bile acids and butyrate precursors that track disease severity [3]. A comparison of bile acid transporter expression between dogs with and without chronic inflammatory enteropathy found reduced expression of the apical sodium-dependent bile acid transporter in diseased mucosa, linking microbial metabolism to host mucosal biology [47]. A 2019 study characterising the altered microbiome, fecal lactate, and bile acids in dogs with GI disease confirmed that metabolomic perturbation accompanies and may partly explain clinical signs [44]. Collectively, these studies support the view that the clinically relevant signal is not a single missing taxon but a disturbed ecosystem involving anaerobic fermentation, bile acid conversion, and host inflammatory tone.</w:t>
      </w:r>
    </w:p>
    <w:p>
      <w:pPr>
        <w:pStyle w:val="BodyText"/>
      </w:pPr>
      <w:r>
        <w:t xml:space="preserve">A feline and canine comparison study showed that microbiota alterations in both acute and chronic gastrointestinal inflammation involve overlapping shifts away from obligate anaerobes, despite differences in species microbiome composition and disease aetiology [45]. The canine IBD–human IBD convergence study using UniFrac analysis identified overlapping dysbiosis networks between dogs with IBD and human patients with Crohn’s disease, supporting the dog as a meaningful natural-disease model for human microbiome-IBD research [125].</w:t>
      </w:r>
    </w:p>
    <w:bookmarkEnd w:id="31"/>
    <w:bookmarkStart w:id="32" w:name="X044a70a55528d16643d6f552abb2f289780c6e7"/>
    <w:p>
      <w:pPr>
        <w:pStyle w:val="Heading4"/>
      </w:pPr>
      <w:r>
        <w:t xml:space="preserve">3.1.3 The dysbiosis index: standardisation and limitations</w:t>
      </w:r>
    </w:p>
    <w:p>
      <w:pPr>
        <w:pStyle w:val="FirstParagraph"/>
      </w:pPr>
      <w:r>
        <w:t xml:space="preserve">The qPCR-based dysbiosis index quantifies eight bacterial groups (</w:t>
      </w:r>
      <w:r>
        <w:rPr>
          <w:iCs/>
          <w:i/>
        </w:rPr>
        <w:t xml:space="preserve">Faecalibacterium</w:t>
      </w:r>
      <w:r>
        <w:t xml:space="preserve">,</w:t>
      </w:r>
      <w:r>
        <w:t xml:space="preserve"> </w:t>
      </w:r>
      <w:r>
        <w:rPr>
          <w:iCs/>
          <w:i/>
        </w:rPr>
        <w:t xml:space="preserve">Turicibacter</w:t>
      </w:r>
      <w:r>
        <w:t xml:space="preserve">,</w:t>
      </w:r>
      <w:r>
        <w:t xml:space="preserve"> </w:t>
      </w:r>
      <w:r>
        <w:rPr>
          <w:iCs/>
          <w:i/>
        </w:rPr>
        <w:t xml:space="preserve">Blautia</w:t>
      </w:r>
      <w:r>
        <w:t xml:space="preserve">,</w:t>
      </w:r>
      <w:r>
        <w:t xml:space="preserve"> </w:t>
      </w:r>
      <w:r>
        <w:rPr>
          <w:iCs/>
          <w:i/>
        </w:rPr>
        <w:t xml:space="preserve">E. coli</w:t>
      </w:r>
      <w:r>
        <w:t xml:space="preserve">,</w:t>
      </w:r>
      <w:r>
        <w:t xml:space="preserve"> </w:t>
      </w:r>
      <w:r>
        <w:rPr>
          <w:iCs/>
          <w:i/>
        </w:rPr>
        <w:t xml:space="preserve">Streptococcus</w:t>
      </w:r>
      <w:r>
        <w:t xml:space="preserve">,</w:t>
      </w:r>
      <w:r>
        <w:t xml:space="preserve"> </w:t>
      </w:r>
      <w:r>
        <w:rPr>
          <w:iCs/>
          <w:i/>
        </w:rPr>
        <w:t xml:space="preserve">Clostridium hiranonis</w:t>
      </w:r>
      <w:r>
        <w:t xml:space="preserve">, Fusobacteria, total bacteria) and outputs a continuous score [1]. Dogs with higher dysbiosis index scores show stronger metabolite disturbance and are more likely to have chronic or recurrent disease [1,42,114]. A modified dysbiosis index has since been validated for cats as well [121]. These tools standardise screening and allow longitudinal tracking during treatment—a meaningful step beyond open-ended 16S profiling. However, the index cannot diagnose the cause of dysbiosis (antibiotic exposure, diet change, inflammatory disease, neoplasia), predict treatment response, or substitute for histopathology and clinical assessment [42,114]. The correct role is adjunctive: one data point among several.</w:t>
      </w:r>
    </w:p>
    <w:bookmarkEnd w:id="32"/>
    <w:bookmarkStart w:id="33" w:name="fmt-in-dogs"/>
    <w:p>
      <w:pPr>
        <w:pStyle w:val="Heading4"/>
      </w:pPr>
      <w:r>
        <w:t xml:space="preserve">3.1.4 FMT in dogs</w:t>
      </w:r>
    </w:p>
    <w:p>
      <w:pPr>
        <w:pStyle w:val="FirstParagraph"/>
      </w:pPr>
      <w:r>
        <w:t xml:space="preserve">FMT is the most visible canine microbiome therapy. In a probiotic–FMT comparison in dogs with acute hemorrhagic diarrhea syndrome, both FMT and</w:t>
      </w:r>
      <w:r>
        <w:t xml:space="preserve"> </w:t>
      </w:r>
      <w:r>
        <w:rPr>
          <w:iCs/>
          <w:i/>
        </w:rPr>
        <w:t xml:space="preserve">Lacticaseibacillus rhamnosus</w:t>
      </w:r>
      <w:r>
        <w:t xml:space="preserve">-based probiotic treatment improved clinical signs faster than placebo, but neither consistently normalised the microbiome during hospitalisation, illustrating that clinical improvement and microbial normalisation can dissociate [43]. In seven dogs with chronic inflammatory enteropathy receiving a single rectal FMT, short-term clinical improvement occurred without consistent changes in recipient microbiota composition or diversity [11]. In 20 diet-refractory dogs, FMT at one month improved clinical index, dysbiosis index, fecal bile acid profiles, and propionate, but alpha and beta diversity did not consistently normalise [12]. A 2025 study of repeated FMT in dogs with chronic enteropathy showed that multiple administrations can decrease disease activity and corticosteroid requirements [13]; a single-dog report of FMT-associated clinical and microbiome improvement in a dog with IBD provided early mechanistic detail [119]. A key commentary on veterinary FMT emphasised donor screening, route standardisation, and the need for controlled trials before FMT becomes routine practice [111].</w:t>
      </w:r>
    </w:p>
    <w:p>
      <w:pPr>
        <w:pStyle w:val="BodyText"/>
      </w:pPr>
      <w:r>
        <w:t xml:space="preserve">Together, these studies suggest that FMT may help selected dogs with refractory chronic enteropathy, but that the mechanism involves functional shifts, metabolic reprogramming, or immunomodulation rather than simple taxonomic normalisation. This mechanistic uncertainty is shared with the human FMT literature [67,83,134].</w:t>
      </w:r>
    </w:p>
    <w:bookmarkEnd w:id="33"/>
    <w:bookmarkStart w:id="34" w:name="skin-microbiome"/>
    <w:p>
      <w:pPr>
        <w:pStyle w:val="Heading4"/>
      </w:pPr>
      <w:r>
        <w:t xml:space="preserve">3.1.5 Skin microbiome</w:t>
      </w:r>
    </w:p>
    <w:p>
      <w:pPr>
        <w:pStyle w:val="FirstParagraph"/>
      </w:pPr>
      <w:r>
        <w:t xml:space="preserve">The skin microbiome of dogs is dominated by</w:t>
      </w:r>
      <w:r>
        <w:t xml:space="preserve"> </w:t>
      </w:r>
      <w:r>
        <w:rPr>
          <w:iCs/>
          <w:i/>
        </w:rPr>
        <w:t xml:space="preserve">Staphylococcus</w:t>
      </w:r>
      <w:r>
        <w:t xml:space="preserve">,</w:t>
      </w:r>
      <w:r>
        <w:t xml:space="preserve"> </w:t>
      </w:r>
      <w:r>
        <w:rPr>
          <w:iCs/>
          <w:i/>
        </w:rPr>
        <w:t xml:space="preserve">Micrococcus</w:t>
      </w:r>
      <w:r>
        <w:t xml:space="preserve">,</w:t>
      </w:r>
      <w:r>
        <w:t xml:space="preserve"> </w:t>
      </w:r>
      <w:r>
        <w:rPr>
          <w:iCs/>
          <w:i/>
        </w:rPr>
        <w:t xml:space="preserve">Corynebacterium</w:t>
      </w:r>
      <w:r>
        <w:t xml:space="preserve">, and</w:t>
      </w:r>
      <w:r>
        <w:t xml:space="preserve"> </w:t>
      </w:r>
      <w:r>
        <w:rPr>
          <w:iCs/>
          <w:i/>
        </w:rPr>
        <w:t xml:space="preserve">Pseudomonas</w:t>
      </w:r>
      <w:r>
        <w:t xml:space="preserve"> </w:t>
      </w:r>
      <w:r>
        <w:t xml:space="preserve">and shows marked body-site variation [38]. Dogs with allergic skin disease have altered skin microbiome composition with enrichment of</w:t>
      </w:r>
      <w:r>
        <w:t xml:space="preserve"> </w:t>
      </w:r>
      <w:r>
        <w:rPr>
          <w:iCs/>
          <w:i/>
        </w:rPr>
        <w:t xml:space="preserve">Staphylococcus pseudintermedius</w:t>
      </w:r>
      <w:r>
        <w:t xml:space="preserve"> </w:t>
      </w:r>
      <w:r>
        <w:t xml:space="preserve">in atopic dermatitis [38,131]. Cats show analogous but distinct skin microbial communities [39]. Skin microbiome data have been proposed as tools for diagnosing atopic dermatitis and monitoring treatment, but the evidence for actionable clinical utility beyond expert clinical assessment remains limited.</w:t>
      </w:r>
    </w:p>
    <w:p>
      <w:pPr>
        <w:pStyle w:val="BodyText"/>
      </w:pPr>
      <w:r>
        <w:rPr>
          <w:bCs/>
          <w:b/>
        </w:rPr>
        <w:t xml:space="preserve">Clinical implication for dogs:</w:t>
      </w:r>
      <w:r>
        <w:t xml:space="preserve"> </w:t>
      </w:r>
      <w:r>
        <w:t xml:space="preserve">microbiome and metabolome testing is most defensible as an adjunct in chronic or recurrent gastrointestinal disease, particularly when combined with diet history, validated clinical activity scores such as CIBDAI [46], fecal markers, cobalamin/folate status, and bile acid or metabolomic data. Stand-alone microbiome tests that lack validated reference populations, dietary co-variates, and outcome studies should not be marketed as diagnostic tools.</w:t>
      </w:r>
    </w:p>
    <w:p>
      <w:r>
        <w:pict>
          <v:rect style="width:0;height:1.5pt" o:hralign="center" o:hrstd="t" o:hr="t"/>
        </w:pict>
      </w:r>
    </w:p>
    <w:bookmarkEnd w:id="34"/>
    <w:bookmarkEnd w:id="35"/>
    <w:bookmarkStart w:id="39" w:name="X012bd1b7cffc6f5edc8d88065cd154ac6e10080"/>
    <w:p>
      <w:pPr>
        <w:pStyle w:val="Heading3"/>
      </w:pPr>
      <w:r>
        <w:t xml:space="preserve">3.2 Cats: signal exists, but phenotype separation is the bottleneck</w:t>
      </w:r>
    </w:p>
    <w:bookmarkStart w:id="36" w:name="Xb545e1fbdb148fd8e0ff3bf86000047cb453289"/>
    <w:p>
      <w:pPr>
        <w:pStyle w:val="Heading4"/>
      </w:pPr>
      <w:r>
        <w:t xml:space="preserve">3.2.1 Composition and chronic enteropathy overlap</w:t>
      </w:r>
    </w:p>
    <w:p>
      <w:pPr>
        <w:pStyle w:val="FirstParagraph"/>
      </w:pPr>
      <w:r>
        <w:t xml:space="preserve">Feline gut microbiome studies are less numerous than canine equivalents, partly because cats are harder to phenotype. Feline chronic enteropathy overlaps clinically with inflammatory bowel disease (IBD) and alimentary small cell lymphoma (SCL), two conditions that may be histologically adjacent and are distinguished by immunophenotyping and clonality assays rather than microbiome data alone [14]. A Scientific Reports study of 38 healthy cats and 27 cats with IBD or SCL identified fecal microbial composition differences—reduced obligate anaerobes and increased Proteobacteria—but these changes did not reliably separate IBD from SCL [14]. Thus, microbiome data complement, but do not replace, biopsy-based diagnosis.</w:t>
      </w:r>
    </w:p>
    <w:bookmarkEnd w:id="36"/>
    <w:bookmarkStart w:id="37" w:name="functional-and-metabolic-approaches"/>
    <w:p>
      <w:pPr>
        <w:pStyle w:val="Heading4"/>
      </w:pPr>
      <w:r>
        <w:t xml:space="preserve">3.2.2 Functional and metabolic approaches</w:t>
      </w:r>
    </w:p>
    <w:p>
      <w:pPr>
        <w:pStyle w:val="FirstParagraph"/>
      </w:pPr>
      <w:r>
        <w:t xml:space="preserve">More recent feline work emphasises functional readouts. A BMC Veterinary Research study of 16 cats with chronic enteropathy and 14 controls found lower alpha and beta diversity, higher Proteobacteria, Enterobacterales, Enterobacteriaceae, and</w:t>
      </w:r>
      <w:r>
        <w:t xml:space="preserve"> </w:t>
      </w:r>
      <w:r>
        <w:rPr>
          <w:iCs/>
          <w:i/>
        </w:rPr>
        <w:t xml:space="preserve">Escherichia-Shigella</w:t>
      </w:r>
      <w:r>
        <w:t xml:space="preserve">, and altered fecal fatty acid profiles in diseased cats compared with controls [15]. A nuclear magnetic resonance metabolomics study of cats with chronic enteropathy on a hydrolysed-protein diet characterised plasma, fecal, and urine metabolic phenotypes before and after diet change, identifying tryptophan pathway metabolites and bile acid intermediates as candidate biomarkers of mucosal response [16]. A 2024 unbiased serum metabolomics study further showed that naturally occurring feline chronic enteropathies have systemic metabolic signatures that shift after medical intervention, suggesting that metabolomics can track treatment response independently of microbiome composition [17].</w:t>
      </w:r>
    </w:p>
    <w:p>
      <w:pPr>
        <w:pStyle w:val="BodyText"/>
      </w:pPr>
      <w:r>
        <w:t xml:space="preserve">A randomised, controlled study of a synbiotic containing</w:t>
      </w:r>
      <w:r>
        <w:t xml:space="preserve"> </w:t>
      </w:r>
      <w:r>
        <w:rPr>
          <w:iCs/>
          <w:i/>
        </w:rPr>
        <w:t xml:space="preserve">Enterococcus faecium</w:t>
      </w:r>
      <w:r>
        <w:t xml:space="preserve"> </w:t>
      </w:r>
      <w:r>
        <w:t xml:space="preserve">and fructooligosaccharide in healthy research cats showed modest short- and long-term effects on the fecal microbiome and metabolomic profiles, providing a baseline for future interventional work in diseased cats [49]. A feline dysbiosis index analogous to the canine tool has been validated for cats, enabling standardised tracking in clinical practice [121].</w:t>
      </w:r>
    </w:p>
    <w:bookmarkEnd w:id="37"/>
    <w:bookmarkStart w:id="38" w:name="fmt-and-commercial-testing-in-cats"/>
    <w:p>
      <w:pPr>
        <w:pStyle w:val="Heading4"/>
      </w:pPr>
      <w:r>
        <w:t xml:space="preserve">3.2.3 FMT and commercial testing in cats</w:t>
      </w:r>
    </w:p>
    <w:p>
      <w:pPr>
        <w:pStyle w:val="FirstParagraph"/>
      </w:pPr>
      <w:r>
        <w:t xml:space="preserve">FMT in cats with chronic digestive issues has been reported, with microbiome responses after donor transfer but insufficient evidence for routine recommendation [18]. Commercial microbiome testing marketed directly to cat owners shares the general limitation of lacking indication-specific clinical validation, a concern highlighted in the international consensus on clinical microbiome testing [35].</w:t>
      </w:r>
    </w:p>
    <w:p>
      <w:pPr>
        <w:pStyle w:val="BodyText"/>
      </w:pPr>
      <w:r>
        <w:t xml:space="preserve">The skin microbiome of cats is distinct from dogs, with</w:t>
      </w:r>
      <w:r>
        <w:t xml:space="preserve"> </w:t>
      </w:r>
      <w:r>
        <w:rPr>
          <w:iCs/>
          <w:i/>
        </w:rPr>
        <w:t xml:space="preserve">Staphylococcus</w:t>
      </w:r>
      <w:r>
        <w:t xml:space="preserve">,</w:t>
      </w:r>
      <w:r>
        <w:t xml:space="preserve"> </w:t>
      </w:r>
      <w:r>
        <w:rPr>
          <w:iCs/>
          <w:i/>
        </w:rPr>
        <w:t xml:space="preserve">Corynebacterium</w:t>
      </w:r>
      <w:r>
        <w:t xml:space="preserve">, and</w:t>
      </w:r>
      <w:r>
        <w:t xml:space="preserve"> </w:t>
      </w:r>
      <w:r>
        <w:rPr>
          <w:iCs/>
          <w:i/>
        </w:rPr>
        <w:t xml:space="preserve">Micrococcus</w:t>
      </w:r>
      <w:r>
        <w:t xml:space="preserve"> </w:t>
      </w:r>
      <w:r>
        <w:t xml:space="preserve">predominating at multiple body sites [39]. Skin microbiome differences in feline dermatological disease have been described, but actionable clinical use remains exploratory.</w:t>
      </w:r>
    </w:p>
    <w:p>
      <w:pPr>
        <w:pStyle w:val="BodyText"/>
      </w:pPr>
      <w:r>
        <w:rPr>
          <w:bCs/>
          <w:b/>
        </w:rPr>
        <w:t xml:space="preserve">Clinical implication for cats:</w:t>
      </w:r>
      <w:r>
        <w:t xml:space="preserve"> </w:t>
      </w:r>
      <w:r>
        <w:t xml:space="preserve">microbiome and metabolome data are currently most useful as research tools for better phenotyping of chronic enteropathy and for tracking metabolic treatment response. They should not be used to distinguish IBD from SCL, replace histopathology, or guide treatment escalation without conventional diagnostics.</w:t>
      </w:r>
    </w:p>
    <w:p>
      <w:r>
        <w:pict>
          <v:rect style="width:0;height:1.5pt" o:hralign="center" o:hrstd="t" o:hr="t"/>
        </w:pict>
      </w:r>
    </w:p>
    <w:bookmarkEnd w:id="38"/>
    <w:bookmarkEnd w:id="39"/>
    <w:bookmarkStart w:id="43" w:name="X0b7a5b9c618675f6cc1eb73ea7334078e7be27f"/>
    <w:p>
      <w:pPr>
        <w:pStyle w:val="Heading3"/>
      </w:pPr>
      <w:r>
        <w:t xml:space="preserve">3.3 Horses: management and antimicrobial exposure are the clinical frame</w:t>
      </w:r>
    </w:p>
    <w:bookmarkStart w:id="40" w:name="the-hindgut-fermenter-context"/>
    <w:p>
      <w:pPr>
        <w:pStyle w:val="Heading4"/>
      </w:pPr>
      <w:r>
        <w:t xml:space="preserve">3.3.1 The hindgut fermenter context</w:t>
      </w:r>
    </w:p>
    <w:p>
      <w:pPr>
        <w:pStyle w:val="FirstParagraph"/>
      </w:pPr>
      <w:r>
        <w:t xml:space="preserve">The horse is a hindgut fermenter, and its colonic microbiome—dominated by Firmicutes (particularly Lachnospiraceae and Ruminococcaceae), Verrucomicrobiota, Spirochaetota, and Fibrobacteres—performs the primary fermentation of structural carbohydrates [21,52,53,122]. The equine microbiome is therefore inseparable from forage composition, starch load, meal pattern, transport, hospitalisation, and antimicrobial history. Large-scale comparative sequencing has established that the equine hindgut harbours a core bacterial community across individuals and geographies, but that diet, management, and antimicrobial exposure consistently drive the dominant sources of inter-individual variation [52,53].</w:t>
      </w:r>
    </w:p>
    <w:p>
      <w:pPr>
        <w:pStyle w:val="BodyText"/>
      </w:pPr>
      <w:r>
        <w:t xml:space="preserve">High-starch diets and oligofructose-induced laminitis models show that hindgut microbial shifts occur rapidly with substrate overload, acidification enriches gram-positive starch fermenters at the expense of fibrolytic anaerobes, and the resulting inflammatory cascade can have systemic consequences [22]. These mechanistic studies argue that microbiome intervention in horses should begin with dietary substrate management, not probiotic supplementation.</w:t>
      </w:r>
    </w:p>
    <w:bookmarkEnd w:id="40"/>
    <w:bookmarkStart w:id="41" w:name="Xd16b6dfd48c406ac12a0413d5dfd8ff57291092"/>
    <w:p>
      <w:pPr>
        <w:pStyle w:val="Heading4"/>
      </w:pPr>
      <w:r>
        <w:t xml:space="preserve">3.3.2 Antimicrobial perturbation: the strongest clinical signal</w:t>
      </w:r>
    </w:p>
    <w:p>
      <w:pPr>
        <w:pStyle w:val="FirstParagraph"/>
      </w:pPr>
      <w:r>
        <w:t xml:space="preserve">Two recent studies have substantially strengthened the evidence base for antimicrobial-associated microbiome perturbation in horses. A matched case-control study in</w:t>
      </w:r>
      <w:r>
        <w:t xml:space="preserve"> </w:t>
      </w:r>
      <w:r>
        <w:rPr>
          <w:iCs/>
          <w:i/>
        </w:rPr>
        <w:t xml:space="preserve">Animals</w:t>
      </w:r>
      <w:r>
        <w:t xml:space="preserve"> </w:t>
      </w:r>
      <w:r>
        <w:t xml:space="preserve">compared horses with antimicrobial-associated diarrhea (AAD), antibiotic-treated non-diarrhoeic controls, and untreated healthy controls. Antimicrobial exposure significantly reduced richness and evenness in both treated groups; however, AAD horses showed stronger microbiome and metabolome separation from healthy controls, with altered tryptophan-related metabolites and bile acid profiles that may contribute to the pathophysiology of diarrhea [19]. A prospective longitudinal study of 20 healthy horses receiving oral doxycycline, erythromycin, metronidazole, or sulfadiazine/trimethoprim showed that the first three drugs—but not sulfadiazine/trimethoprim—significantly reduced richness and diversity at multiple timepoints, with expansion of</w:t>
      </w:r>
      <w:r>
        <w:t xml:space="preserve"> </w:t>
      </w:r>
      <w:r>
        <w:rPr>
          <w:iCs/>
          <w:i/>
        </w:rPr>
        <w:t xml:space="preserve">Fusobacterium</w:t>
      </w:r>
      <w:r>
        <w:t xml:space="preserve"> </w:t>
      </w:r>
      <w:r>
        <w:t xml:space="preserve">and</w:t>
      </w:r>
      <w:r>
        <w:t xml:space="preserve"> </w:t>
      </w:r>
      <w:r>
        <w:rPr>
          <w:iCs/>
          <w:i/>
        </w:rPr>
        <w:t xml:space="preserve">Escherichia-Shigella</w:t>
      </w:r>
      <w:r>
        <w:t xml:space="preserve"> </w:t>
      </w:r>
      <w:r>
        <w:t xml:space="preserve">and reduction in fibrolytic Lachnospiraceae and</w:t>
      </w:r>
      <w:r>
        <w:t xml:space="preserve"> </w:t>
      </w:r>
      <w:r>
        <w:rPr>
          <w:iCs/>
          <w:i/>
        </w:rPr>
        <w:t xml:space="preserve">Treponema</w:t>
      </w:r>
      <w:r>
        <w:t xml:space="preserve"> </w:t>
      </w:r>
      <w:r>
        <w:t xml:space="preserve">[20]. These drug-specific effects have direct stewardship implications: choosing antimicrobials with lower documented microbiome disruption, when clinically equivalent, is a rational strategy in horses at risk of AAD.</w:t>
      </w:r>
    </w:p>
    <w:bookmarkEnd w:id="41"/>
    <w:bookmarkStart w:id="42" w:name="equine-probiotics-and-fmt"/>
    <w:p>
      <w:pPr>
        <w:pStyle w:val="Heading4"/>
      </w:pPr>
      <w:r>
        <w:t xml:space="preserve">3.3.3 Equine probiotics and FMT</w:t>
      </w:r>
    </w:p>
    <w:p>
      <w:pPr>
        <w:pStyle w:val="FirstParagraph"/>
      </w:pPr>
      <w:r>
        <w:t xml:space="preserve">A systematic review of equine probiotic use concluded that, while in vitro studies support plausible mechanisms, clinical trials in horses have not consistently demonstrated efficacy for diarrhea prevention, microbiome normalisation, or foal health outcomes, largely because studies are small, use heterogeneous products, and lack validated outcome measures [51]. The core bacterial community in the horse large intestine has been characterised in multiple studies as a reproducible benchmark for assessing perturbation and recovery [52,122]. Costa et al. established a high-throughput sequencing-based comparison of fecal microbiota in healthy horses and horses with colitis, identifying Firmicutes loss and Proteobacteria enrichment as signatures of colitis [50]. FMT has been used in horses with AAD and colitis in case reports and small series, but the evidence base for routine use is not yet sufficient.</w:t>
      </w:r>
    </w:p>
    <w:p>
      <w:pPr>
        <w:pStyle w:val="BodyText"/>
      </w:pPr>
      <w:r>
        <w:rPr>
          <w:bCs/>
          <w:b/>
        </w:rPr>
        <w:t xml:space="preserve">Clinical implication for horses:</w:t>
      </w:r>
      <w:r>
        <w:t xml:space="preserve"> </w:t>
      </w:r>
      <w:r>
        <w:t xml:space="preserve">equine microbiome interpretation should begin with the perturbation history—diet transition, forage restriction, transport, hospitalisation, and particularly antimicrobial class and duration. The most defensible immediate clinical value is risk stratification and stewardship-guided drug selection, not routine microbiome screening.</w:t>
      </w:r>
    </w:p>
    <w:p>
      <w:r>
        <w:pict>
          <v:rect style="width:0;height:1.5pt" o:hralign="center" o:hrstd="t" o:hr="t"/>
        </w:pict>
      </w:r>
    </w:p>
    <w:bookmarkEnd w:id="42"/>
    <w:bookmarkEnd w:id="43"/>
    <w:bookmarkStart w:id="47" w:name="X7fe9a911fa1f59ae0815d55bea56ce6e385b756"/>
    <w:p>
      <w:pPr>
        <w:pStyle w:val="Heading3"/>
      </w:pPr>
      <w:r>
        <w:t xml:space="preserve">3.4 Ruminants: microbiome medicine is production medicine</w:t>
      </w:r>
    </w:p>
    <w:bookmarkStart w:id="44" w:name="the-rumen-microbiome-as-production-organ"/>
    <w:p>
      <w:pPr>
        <w:pStyle w:val="Heading4"/>
      </w:pPr>
      <w:r>
        <w:t xml:space="preserve">3.4.1 The rumen microbiome as production organ</w:t>
      </w:r>
    </w:p>
    <w:p>
      <w:pPr>
        <w:pStyle w:val="FirstParagraph"/>
      </w:pPr>
      <w:r>
        <w:t xml:space="preserve">In ruminants, the rumen microbiome does not merely support digestion; it performs it. Bacteria (dominated by Firmicutes and Bacteroidota), archaea (primarily Methanobrevibacter), protozoa, and fungi cooperate in dense syntrophic networks to ferment structural and non-structural carbohydrates into volatile fatty acids, microbial protein, and methane [54,56,57,58]. The translational endpoints in ruminant microbiome research are accordingly different from those in companion animals: feed conversion efficiency, milk protein yield, nitrogen use efficiency, methane emission, weaning transition success, neonatal colonisation, and AMR burden are often more relevant than individual clinical diagnosis [23,24,55,117,118].</w:t>
      </w:r>
    </w:p>
    <w:p>
      <w:pPr>
        <w:pStyle w:val="BodyText"/>
      </w:pPr>
      <w:r>
        <w:t xml:space="preserve">A global survey of rumen microbial communities across nine ruminant species and multiple geographies found a conserved core rumen microbiota alongside substantial diet- and host-driven variation [54]. Specific microbiome-dependent mechanisms underlying energy-harvest efficiency have been characterised in dairy cattle using integrated multi-omic approaches, identifying fibrolytic bacteria (</w:t>
      </w:r>
      <w:r>
        <w:rPr>
          <w:iCs/>
          <w:i/>
        </w:rPr>
        <w:t xml:space="preserve">Ruminococcus</w:t>
      </w:r>
      <w:r>
        <w:t xml:space="preserve">,</w:t>
      </w:r>
      <w:r>
        <w:t xml:space="preserve"> </w:t>
      </w:r>
      <w:r>
        <w:rPr>
          <w:iCs/>
          <w:i/>
        </w:rPr>
        <w:t xml:space="preserve">Butyrivibrio</w:t>
      </w:r>
      <w:r>
        <w:t xml:space="preserve">,</w:t>
      </w:r>
      <w:r>
        <w:t xml:space="preserve"> </w:t>
      </w:r>
      <w:r>
        <w:rPr>
          <w:iCs/>
          <w:i/>
        </w:rPr>
        <w:t xml:space="preserve">Fibrobacter</w:t>
      </w:r>
      <w:r>
        <w:t xml:space="preserve">), methanogenic archaea, and SCFA-producing consortia as core determinants of residual feed intake [23,24,55,117,118].</w:t>
      </w:r>
    </w:p>
    <w:bookmarkEnd w:id="44"/>
    <w:bookmarkStart w:id="45" w:name="methane-and-the-archaeome"/>
    <w:p>
      <w:pPr>
        <w:pStyle w:val="Heading4"/>
      </w:pPr>
      <w:r>
        <w:t xml:space="preserve">3.4.2 Methane and the archaeome</w:t>
      </w:r>
    </w:p>
    <w:p>
      <w:pPr>
        <w:pStyle w:val="FirstParagraph"/>
      </w:pPr>
      <w:r>
        <w:t xml:space="preserve">Methanogenesis is the primary output of archaeal activity in the rumen and constitutes a significant source of agricultural greenhouse gas emissions. A 2024 Nature Communications study assembled a metagenomic catalogue of 998 ruminant gut archaeal genomes from 2270 metagenomes across ten species, providing the genomic basis for designing anti-methanogenic interventions [26]. A parallel 2025 Nature Communications study showed that protozoal populations drive system-wide variation in the rumen microbiome in beef cattle, with ciliate abundance strongly correlated with methanogen load and methane yield [27]. These studies reinforce that methane and feed-efficiency phenotypes emerge from microbial networks—not single taxa—and that interventions targeting only methanogens may have unintended consequences on protozoa-bacteria-archaea interactions.</w:t>
      </w:r>
    </w:p>
    <w:p>
      <w:pPr>
        <w:pStyle w:val="BodyText"/>
      </w:pPr>
      <w:r>
        <w:t xml:space="preserve">The use of 3-nitrooxypropanol (3-NOP) as a methane inhibitor has been shown to persistently decrease enteric methane in dairy cows without affecting milk production, illustrating a metabolic intervention with a plausible microbial mechanism and a measurable production endpoint [59].</w:t>
      </w:r>
    </w:p>
    <w:bookmarkEnd w:id="45"/>
    <w:bookmarkStart w:id="46" w:name="neonatal-and-perinatal-colonisation"/>
    <w:p>
      <w:pPr>
        <w:pStyle w:val="Heading4"/>
      </w:pPr>
      <w:r>
        <w:t xml:space="preserve">3.4.3 Neonatal and perinatal colonisation</w:t>
      </w:r>
    </w:p>
    <w:p>
      <w:pPr>
        <w:pStyle w:val="FirstParagraph"/>
      </w:pPr>
      <w:r>
        <w:t xml:space="preserve">Neonatal ruminants are born with a relatively simple gut microbiota and acquire their microbiome through colostrum, maternal contact, environment, and feed [56,57]. Rapid Bacteroidota and Firmicutes establishment in the first weeks of life correlates with later immune function and health outcomes [57]. Disruption of early colonisation by antimicrobial treatment, isolation, or pathogen challenge is associated with dysbiosis that may persist and affect production performance—a model analogous to early-life human microbiome disruption [73,83,138].</w:t>
      </w:r>
    </w:p>
    <w:p>
      <w:pPr>
        <w:pStyle w:val="BodyText"/>
      </w:pPr>
      <w:r>
        <w:rPr>
          <w:bCs/>
          <w:b/>
        </w:rPr>
        <w:t xml:space="preserve">Clinical implication for ruminants:</w:t>
      </w:r>
      <w:r>
        <w:t xml:space="preserve"> </w:t>
      </w:r>
      <w:r>
        <w:t xml:space="preserve">the strongest microbiome applications are herd-level and function-led. Microbiome interventions should be evaluated against measurable outputs—dry matter intake, residual feed intake, milk solids, methane yield per unit product, health events, and AMR burden—not only shifts in relative abundance.</w:t>
      </w:r>
    </w:p>
    <w:p>
      <w:r>
        <w:pict>
          <v:rect style="width:0;height:1.5pt" o:hralign="center" o:hrstd="t" o:hr="t"/>
        </w:pict>
      </w:r>
    </w:p>
    <w:bookmarkEnd w:id="46"/>
    <w:bookmarkEnd w:id="47"/>
    <w:bookmarkStart w:id="51" w:name="Xb26f4f530ec7b16501262524c59c5e0bc7b511c"/>
    <w:p>
      <w:pPr>
        <w:pStyle w:val="Heading3"/>
      </w:pPr>
      <w:r>
        <w:t xml:space="preserve">3.5 Poultry: population-level ecology, pathogen exclusion, and antibiotic-free production</w:t>
      </w:r>
    </w:p>
    <w:bookmarkStart w:id="48" w:name="the-flock-and-house-as-the-unit"/>
    <w:p>
      <w:pPr>
        <w:pStyle w:val="Heading4"/>
      </w:pPr>
      <w:r>
        <w:t xml:space="preserve">3.5.1 The flock and house as the unit</w:t>
      </w:r>
    </w:p>
    <w:p>
      <w:pPr>
        <w:pStyle w:val="FirstParagraph"/>
      </w:pPr>
      <w:r>
        <w:t xml:space="preserve">Poultry microbiome work is operationally important because it intersects with feed conversion, necrotic enteritis (</w:t>
      </w:r>
      <w:r>
        <w:rPr>
          <w:iCs/>
          <w:i/>
        </w:rPr>
        <w:t xml:space="preserve">Clostridium perfringens</w:t>
      </w:r>
      <w:r>
        <w:t xml:space="preserve">),</w:t>
      </w:r>
      <w:r>
        <w:t xml:space="preserve"> </w:t>
      </w:r>
      <w:r>
        <w:rPr>
          <w:iCs/>
          <w:i/>
        </w:rPr>
        <w:t xml:space="preserve">Salmonella</w:t>
      </w:r>
      <w:r>
        <w:t xml:space="preserve"> </w:t>
      </w:r>
      <w:r>
        <w:t xml:space="preserve">and</w:t>
      </w:r>
      <w:r>
        <w:t xml:space="preserve"> </w:t>
      </w:r>
      <w:r>
        <w:rPr>
          <w:iCs/>
          <w:i/>
        </w:rPr>
        <w:t xml:space="preserve">Campylobacter</w:t>
      </w:r>
      <w:r>
        <w:t xml:space="preserve"> </w:t>
      </w:r>
      <w:r>
        <w:t xml:space="preserve">control, litter management, and antibiotic-free production mandated by growing market demands and regulatory pressure [60,62,63]. The cecum—not the small intestine—is the dominant fermentative compartment in chickens and turkeys. Cecal communities are densely populated with Firmicutes (Lachnospiraceae, Ruminococcaceae, Peptostreptococcaceae), Bacteroidota, and Fusobacteria; their SCFA output contributes substantially to host energy and epithelial function [28,60,61].</w:t>
      </w:r>
    </w:p>
    <w:p>
      <w:pPr>
        <w:pStyle w:val="BodyText"/>
      </w:pPr>
      <w:r>
        <w:t xml:space="preserve">A 2023 Microbiome study identified that cecal SCFA output, host genetics, and feed efficiency are mechanistically linked in broiler chickens: birds with lower residual feed intake showed higher cecal butyrate concentrations and enrichment of butyrate-producing bacteria, while host-genome loci associated with gut morphology explained additional variance [28]. This finding supports the selection of both host genetics and dietary substrates as levers for improving feed efficiency through microbial pathways.</w:t>
      </w:r>
    </w:p>
    <w:bookmarkEnd w:id="48"/>
    <w:bookmarkStart w:id="49" w:name="necrotic-enteritis-and-the-microbiome"/>
    <w:p>
      <w:pPr>
        <w:pStyle w:val="Heading4"/>
      </w:pPr>
      <w:r>
        <w:t xml:space="preserve">3.5.2 Necrotic enteritis and the microbiome</w:t>
      </w:r>
    </w:p>
    <w:p>
      <w:pPr>
        <w:pStyle w:val="FirstParagraph"/>
      </w:pPr>
      <w:r>
        <w:t xml:space="preserve">Necrotic enteritis (NE) caused by</w:t>
      </w:r>
      <w:r>
        <w:t xml:space="preserve"> </w:t>
      </w:r>
      <w:r>
        <w:rPr>
          <w:iCs/>
          <w:i/>
        </w:rPr>
        <w:t xml:space="preserve">Clostridium perfringens</w:t>
      </w:r>
      <w:r>
        <w:t xml:space="preserve"> </w:t>
      </w:r>
      <w:r>
        <w:t xml:space="preserve">Type A and G (NetB toxin) is one of the most costly poultry diseases globally, and its microbiome context is increasingly understood. A 2024 Journal of Translational Medicine study tested whether jejunal microbiome composition could predict clinical and subclinical NE in a broiler model: birds with subclinical disease showed earlier microbial shifts that were detectable before frank lesions appeared, suggesting that microbiome monitoring could guide preventive intervention windows [29]. A synbiotic study using an experimental NE challenge model demonstrated that a commercial synbiotic improved body weight gain, feed conversion, and lesion scores compared to controls, providing a controlled interventional example of microbiome-based NE management [30].</w:t>
      </w:r>
    </w:p>
    <w:p>
      <w:pPr>
        <w:pStyle w:val="BodyText"/>
      </w:pPr>
      <w:r>
        <w:t xml:space="preserve">In a major step toward precision biotherapeutics in poultry, a 2026 npj Biofilms and Microbiomes study used engineered</w:t>
      </w:r>
      <w:r>
        <w:t xml:space="preserve"> </w:t>
      </w:r>
      <w:r>
        <w:rPr>
          <w:iCs/>
          <w:i/>
        </w:rPr>
        <w:t xml:space="preserve">Limosilactobacillus reuteri</w:t>
      </w:r>
      <w:r>
        <w:t xml:space="preserve"> </w:t>
      </w:r>
      <w:r>
        <w:t xml:space="preserve">strains delivering anti-NetB nanobodies in broilers under subclinical NE conditions. Birds receiving the engineered bacterium showed improved productivity, favourable microbiome changes (enrichment of butyrate producers, reduction of</w:t>
      </w:r>
      <w:r>
        <w:t xml:space="preserve"> </w:t>
      </w:r>
      <w:r>
        <w:rPr>
          <w:iCs/>
          <w:i/>
        </w:rPr>
        <w:t xml:space="preserve">C. perfringens</w:t>
      </w:r>
      <w:r>
        <w:t xml:space="preserve"> </w:t>
      </w:r>
      <w:r>
        <w:t xml:space="preserve">load), and a host transcriptomic shift consistent with reduced mucosal inflammation [31]. This study exemplifies the trajectory from descriptive microbiome association to targeted live biotherapeutic intervention.</w:t>
      </w:r>
    </w:p>
    <w:bookmarkEnd w:id="49"/>
    <w:bookmarkStart w:id="50" w:name="X4a858ad67f5b105ec4288dfdb3468bfd96f3a15"/>
    <w:p>
      <w:pPr>
        <w:pStyle w:val="Heading4"/>
      </w:pPr>
      <w:r>
        <w:t xml:space="preserve">3.5.3</w:t>
      </w:r>
      <w:r>
        <w:t xml:space="preserve"> </w:t>
      </w:r>
      <w:r>
        <w:rPr>
          <w:iCs/>
          <w:i/>
        </w:rPr>
        <w:t xml:space="preserve">Salmonella</w:t>
      </w:r>
      <w:r>
        <w:t xml:space="preserve">,</w:t>
      </w:r>
      <w:r>
        <w:t xml:space="preserve"> </w:t>
      </w:r>
      <w:r>
        <w:rPr>
          <w:iCs/>
          <w:i/>
        </w:rPr>
        <w:t xml:space="preserve">Campylobacter</w:t>
      </w:r>
      <w:r>
        <w:t xml:space="preserve">, and competitive exclusion</w:t>
      </w:r>
    </w:p>
    <w:p>
      <w:pPr>
        <w:pStyle w:val="FirstParagraph"/>
      </w:pPr>
      <w:r>
        <w:t xml:space="preserve">The chicken intestinal microbiome is central to</w:t>
      </w:r>
      <w:r>
        <w:t xml:space="preserve"> </w:t>
      </w:r>
      <w:r>
        <w:rPr>
          <w:iCs/>
          <w:i/>
        </w:rPr>
        <w:t xml:space="preserve">Salmonella</w:t>
      </w:r>
      <w:r>
        <w:t xml:space="preserve"> </w:t>
      </w:r>
      <w:r>
        <w:t xml:space="preserve">and</w:t>
      </w:r>
      <w:r>
        <w:t xml:space="preserve"> </w:t>
      </w:r>
      <w:r>
        <w:rPr>
          <w:iCs/>
          <w:i/>
        </w:rPr>
        <w:t xml:space="preserve">Campylobacter</w:t>
      </w:r>
      <w:r>
        <w:t xml:space="preserve"> </w:t>
      </w:r>
      <w:r>
        <w:t xml:space="preserve">colonisation resistance, which has direct food-safety implications. Competitive exclusion products applied at hatch can reduce</w:t>
      </w:r>
      <w:r>
        <w:t xml:space="preserve"> </w:t>
      </w:r>
      <w:r>
        <w:rPr>
          <w:iCs/>
          <w:i/>
        </w:rPr>
        <w:t xml:space="preserve">Salmonella</w:t>
      </w:r>
      <w:r>
        <w:t xml:space="preserve"> </w:t>
      </w:r>
      <w:r>
        <w:t xml:space="preserve">cecal colonisation, an effect mediated partly by colonisation of niches that</w:t>
      </w:r>
      <w:r>
        <w:t xml:space="preserve"> </w:t>
      </w:r>
      <w:r>
        <w:rPr>
          <w:iCs/>
          <w:i/>
        </w:rPr>
        <w:t xml:space="preserve">Salmonella</w:t>
      </w:r>
      <w:r>
        <w:t xml:space="preserve"> </w:t>
      </w:r>
      <w:r>
        <w:t xml:space="preserve">would otherwise occupy and partly by SCFA-driven pH reduction [63].</w:t>
      </w:r>
      <w:r>
        <w:t xml:space="preserve"> </w:t>
      </w:r>
      <w:r>
        <w:rPr>
          <w:iCs/>
          <w:i/>
        </w:rPr>
        <w:t xml:space="preserve">Campylobacter jejuni</w:t>
      </w:r>
      <w:r>
        <w:t xml:space="preserve"> </w:t>
      </w:r>
      <w:r>
        <w:t xml:space="preserve">colonises chicken ceca at very high densities under normal management conditions; while the ecological determinants are still being mapped, diet, litter, and water-line microbiome management are the practical levers [60,62,63]. Prebiotics—primarily fructooligosaccharides (FOS) and mannanoligosaccharides (MOS)—shift cecal fermentation toward butyrate-producing bacteria and have been shown to reduce</w:t>
      </w:r>
      <w:r>
        <w:t xml:space="preserve"> </w:t>
      </w:r>
      <w:r>
        <w:rPr>
          <w:iCs/>
          <w:i/>
        </w:rPr>
        <w:t xml:space="preserve">Salmonella</w:t>
      </w:r>
      <w:r>
        <w:t xml:space="preserve"> </w:t>
      </w:r>
      <w:r>
        <w:t xml:space="preserve">carriage in challenge models [61].</w:t>
      </w:r>
    </w:p>
    <w:p>
      <w:pPr>
        <w:pStyle w:val="BodyText"/>
      </w:pPr>
      <w:r>
        <w:rPr>
          <w:bCs/>
          <w:b/>
        </w:rPr>
        <w:t xml:space="preserve">Clinical implication for poultry:</w:t>
      </w:r>
      <w:r>
        <w:t xml:space="preserve"> </w:t>
      </w:r>
      <w:r>
        <w:t xml:space="preserve">microbiome work is most valuable when supporting flock-level decisions about competitive exclusion timing, diet additive selection, necrotic enteritis control programmes, foodborne pathogen reduction, and AMR gene surveillance in antibiotic-free production systems.</w:t>
      </w:r>
    </w:p>
    <w:p>
      <w:r>
        <w:pict>
          <v:rect style="width:0;height:1.5pt" o:hralign="center" o:hrstd="t" o:hr="t"/>
        </w:pict>
      </w:r>
    </w:p>
    <w:bookmarkEnd w:id="50"/>
    <w:bookmarkEnd w:id="51"/>
    <w:bookmarkStart w:id="54" w:name="X8fb66a763bd4ef8aaff4648bfefe10bfc9d873d"/>
    <w:p>
      <w:pPr>
        <w:pStyle w:val="Heading3"/>
      </w:pPr>
      <w:r>
        <w:t xml:space="preserve">3.6 Aquaculture: the microbiome includes water and feed</w:t>
      </w:r>
    </w:p>
    <w:bookmarkStart w:id="52" w:name="a-system-perspective-is-mandatory"/>
    <w:p>
      <w:pPr>
        <w:pStyle w:val="Heading4"/>
      </w:pPr>
      <w:r>
        <w:t xml:space="preserve">3.6.1 A system perspective is mandatory</w:t>
      </w:r>
    </w:p>
    <w:p>
      <w:pPr>
        <w:pStyle w:val="FirstParagraph"/>
      </w:pPr>
      <w:r>
        <w:t xml:space="preserve">Aquaculture challenges the terrestrial habit of treating the host gut microbiome as a closed compartment. Fish and shellfish continuously interact with water, biofilms, sediment, feed, and tank or pond infrastructure. Microbial community composition in fish intestine is therefore shaped by water temperature, salinity, dissolved oxygen, stocking density, and feeding regime as much as by host genetics or health status [64,65,66,115]. Attempting to interpret a fish gut microbiome profile without concurrent water and system metadata is methodologically inadequate.</w:t>
      </w:r>
    </w:p>
    <w:p>
      <w:pPr>
        <w:pStyle w:val="BodyText"/>
      </w:pPr>
      <w:r>
        <w:t xml:space="preserve">The biogeography of the Atlantic salmon gut microbiome was characterised in a landmark ISME Journal study showing that geography and wild-versus-farmed status drive major compositional differences, with farmed salmon showing reduced diversity and dominance of</w:t>
      </w:r>
      <w:r>
        <w:t xml:space="preserve"> </w:t>
      </w:r>
      <w:r>
        <w:rPr>
          <w:iCs/>
          <w:i/>
        </w:rPr>
        <w:t xml:space="preserve">Carnobacterium</w:t>
      </w:r>
      <w:r>
        <w:t xml:space="preserve">,</w:t>
      </w:r>
      <w:r>
        <w:t xml:space="preserve"> </w:t>
      </w:r>
      <w:r>
        <w:rPr>
          <w:iCs/>
          <w:i/>
        </w:rPr>
        <w:t xml:space="preserve">Streptococcus</w:t>
      </w:r>
      <w:r>
        <w:t xml:space="preserve">,</w:t>
      </w:r>
      <w:r>
        <w:t xml:space="preserve"> </w:t>
      </w:r>
      <w:r>
        <w:rPr>
          <w:iCs/>
          <w:i/>
        </w:rPr>
        <w:t xml:space="preserve">Aliivibrio</w:t>
      </w:r>
      <w:r>
        <w:t xml:space="preserve">, and</w:t>
      </w:r>
      <w:r>
        <w:t xml:space="preserve"> </w:t>
      </w:r>
      <w:r>
        <w:rPr>
          <w:iCs/>
          <w:i/>
        </w:rPr>
        <w:t xml:space="preserve">Mycoplasma</w:t>
      </w:r>
      <w:r>
        <w:t xml:space="preserve"> </w:t>
      </w:r>
      <w:r>
        <w:t xml:space="preserve">relative to wild fish [65]. Marine fish microbiomes across multiple species show phylum-level convergence on Proteobacteria and Firmicutes, but genus- and species-level diversity varies widely, complicating cross-species probiotic recommendations [66].</w:t>
      </w:r>
    </w:p>
    <w:bookmarkEnd w:id="52"/>
    <w:bookmarkStart w:id="53" w:name="interventions-and-amr"/>
    <w:p>
      <w:pPr>
        <w:pStyle w:val="Heading4"/>
      </w:pPr>
      <w:r>
        <w:t xml:space="preserve">3.6.2 Interventions and AMR</w:t>
      </w:r>
    </w:p>
    <w:p>
      <w:pPr>
        <w:pStyle w:val="FirstParagraph"/>
      </w:pPr>
      <w:r>
        <w:t xml:space="preserve">An inter-species microbial transplantation study in fish demonstrated that diet strongly modulates gut microbial composition after transplantation, implying that donor microbiota engraftment depends on recipient diet and that dietary co-management is essential for any microbiome intervention in aquaculture [32]. Synbiotic supplementation with fructooligosaccharide and</w:t>
      </w:r>
      <w:r>
        <w:t xml:space="preserve"> </w:t>
      </w:r>
      <w:r>
        <w:rPr>
          <w:iCs/>
          <w:i/>
        </w:rPr>
        <w:t xml:space="preserve">Bacillus subtilis</w:t>
      </w:r>
      <w:r>
        <w:t xml:space="preserve"> </w:t>
      </w:r>
      <w:r>
        <w:t xml:space="preserve">in a fish study promoted disease resistance without clear growth performance benefits, highlighting that pathogen-resistance and growth endpoints should be measured independently [33]. A 2015 tilapia study showed that rearing environment—not genetics alone—determines early gut microbiota development in larvae, reinforcing the system-level interpretation [115].</w:t>
      </w:r>
    </w:p>
    <w:p>
      <w:pPr>
        <w:pStyle w:val="BodyText"/>
      </w:pPr>
      <w:r>
        <w:t xml:space="preserve">The AMR dimension of aquaculture microbiomes is increasingly alarming. A 2024 Microbiome study used shotgun metagenomics to examine the mobility and co-occurrence of AMR genes between non-intensive aquaculture environments and human communities, identifying mobile genetic elements—particularly conjugative plasmids carrying β-lactam, tetracycline, and fluoroquinolone resistance genes—as shared between aquaculture and human microbiomes via waterway exchange [34].</w:t>
      </w:r>
    </w:p>
    <w:p>
      <w:pPr>
        <w:pStyle w:val="BodyText"/>
      </w:pPr>
      <w:r>
        <w:rPr>
          <w:bCs/>
          <w:b/>
        </w:rPr>
        <w:t xml:space="preserve">Clinical implication for aquaculture:</w:t>
      </w:r>
      <w:r>
        <w:t xml:space="preserve"> </w:t>
      </w:r>
      <w:r>
        <w:t xml:space="preserve">microbiome interventions should be evaluated as water–feed–host management tools. Probiotic or synbiotic claims require species-specific, pathogen-challenge, and system-specific evidence. AMR gene surveillance in aquaculture effluent should be integrated with farm management.</w:t>
      </w:r>
    </w:p>
    <w:p>
      <w:r>
        <w:pict>
          <v:rect style="width:0;height:1.5pt" o:hralign="center" o:hrstd="t" o:hr="t"/>
        </w:pict>
      </w:r>
    </w:p>
    <w:p>
      <w:pPr>
        <w:pStyle w:val="FirstParagraph"/>
      </w:pPr>
      <w:r>
        <w:rPr>
          <w:bCs/>
          <w:b/>
        </w:rPr>
        <w:t xml:space="preserve">Table 2. Species-specific evidence map and practical interpretation.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Species/group</w:t>
            </w:r>
          </w:p>
        </w:tc>
        <w:tc>
          <w:tcPr/>
          <w:p>
            <w:pPr>
              <w:pStyle w:val="Compact"/>
              <w:jc w:val="left"/>
            </w:pPr>
            <w:r>
              <w:t xml:space="preserve">Strongest evidence signal</w:t>
            </w:r>
          </w:p>
        </w:tc>
        <w:tc>
          <w:tcPr/>
          <w:p>
            <w:pPr>
              <w:pStyle w:val="Compact"/>
              <w:jc w:val="left"/>
            </w:pPr>
            <w:r>
              <w:t xml:space="preserve">What should be measured with microbiota</w:t>
            </w:r>
          </w:p>
        </w:tc>
        <w:tc>
          <w:tcPr/>
          <w:p>
            <w:pPr>
              <w:pStyle w:val="Compact"/>
              <w:jc w:val="left"/>
            </w:pPr>
            <w:r>
              <w:t xml:space="preserve">Practical interpretation</w:t>
            </w:r>
          </w:p>
        </w:tc>
      </w:tr>
      <w:tr>
        <w:tc>
          <w:tcPr/>
          <w:p>
            <w:pPr>
              <w:pStyle w:val="Compact"/>
              <w:jc w:val="left"/>
            </w:pPr>
            <w:r>
              <w:t xml:space="preserve">Dogs</w:t>
            </w:r>
          </w:p>
        </w:tc>
        <w:tc>
          <w:tcPr/>
          <w:p>
            <w:pPr>
              <w:pStyle w:val="Compact"/>
              <w:jc w:val="left"/>
            </w:pPr>
            <w:r>
              <w:t xml:space="preserve">Chronic enteropathy, acute diarrhea, diet response, FMT</w:t>
            </w:r>
          </w:p>
        </w:tc>
        <w:tc>
          <w:tcPr/>
          <w:p>
            <w:pPr>
              <w:pStyle w:val="Compact"/>
              <w:jc w:val="left"/>
            </w:pPr>
            <w:r>
              <w:t xml:space="preserve">Clinical activity score (CIBDAI), diet history, dysbiosis index, bile acids, SCFAs, medications</w:t>
            </w:r>
          </w:p>
        </w:tc>
        <w:tc>
          <w:tcPr/>
          <w:p>
            <w:pPr>
              <w:pStyle w:val="Compact"/>
              <w:jc w:val="left"/>
            </w:pPr>
            <w:r>
              <w:t xml:space="preserve">Adjunctive GI phenotyping and monitoring; not a stand-alone diagnosis</w:t>
            </w:r>
          </w:p>
        </w:tc>
      </w:tr>
      <w:tr>
        <w:tc>
          <w:tcPr/>
          <w:p>
            <w:pPr>
              <w:pStyle w:val="Compact"/>
              <w:jc w:val="left"/>
            </w:pPr>
            <w:r>
              <w:t xml:space="preserve">Cats</w:t>
            </w:r>
          </w:p>
        </w:tc>
        <w:tc>
          <w:tcPr/>
          <w:p>
            <w:pPr>
              <w:pStyle w:val="Compact"/>
              <w:jc w:val="left"/>
            </w:pPr>
            <w:r>
              <w:t xml:space="preserve">Chronic enteropathy and IBD/SCL overlap</w:t>
            </w:r>
          </w:p>
        </w:tc>
        <w:tc>
          <w:tcPr/>
          <w:p>
            <w:pPr>
              <w:pStyle w:val="Compact"/>
              <w:jc w:val="left"/>
            </w:pPr>
            <w:r>
              <w:t xml:space="preserve">Histopathology/clonality when indicated, diet, fecal fatty acids, serum/fecal metabolomics, feline DI</w:t>
            </w:r>
          </w:p>
        </w:tc>
        <w:tc>
          <w:tcPr/>
          <w:p>
            <w:pPr>
              <w:pStyle w:val="Compact"/>
              <w:jc w:val="left"/>
            </w:pPr>
            <w:r>
              <w:t xml:space="preserve">Research-grade phenotyping; avoid replacing conventional diagnostics</w:t>
            </w:r>
          </w:p>
        </w:tc>
      </w:tr>
      <w:tr>
        <w:tc>
          <w:tcPr/>
          <w:p>
            <w:pPr>
              <w:pStyle w:val="Compact"/>
              <w:jc w:val="left"/>
            </w:pPr>
            <w:r>
              <w:t xml:space="preserve">Horses</w:t>
            </w:r>
          </w:p>
        </w:tc>
        <w:tc>
          <w:tcPr/>
          <w:p>
            <w:pPr>
              <w:pStyle w:val="Compact"/>
              <w:jc w:val="left"/>
            </w:pPr>
            <w:r>
              <w:t xml:space="preserve">Antimicrobial and diet perturbation</w:t>
            </w:r>
          </w:p>
        </w:tc>
        <w:tc>
          <w:tcPr/>
          <w:p>
            <w:pPr>
              <w:pStyle w:val="Compact"/>
              <w:jc w:val="left"/>
            </w:pPr>
            <w:r>
              <w:t xml:space="preserve">Antimicrobial class, fecal consistency scores, management history, metabolomics</w:t>
            </w:r>
          </w:p>
        </w:tc>
        <w:tc>
          <w:tcPr/>
          <w:p>
            <w:pPr>
              <w:pStyle w:val="Compact"/>
              <w:jc w:val="left"/>
            </w:pPr>
            <w:r>
              <w:t xml:space="preserve">Stewardship and risk interpretation after perturbation; probiotic use not yet evidence-based</w:t>
            </w:r>
          </w:p>
        </w:tc>
      </w:tr>
      <w:tr>
        <w:tc>
          <w:tcPr/>
          <w:p>
            <w:pPr>
              <w:pStyle w:val="Compact"/>
              <w:jc w:val="left"/>
            </w:pPr>
            <w:r>
              <w:t xml:space="preserve">Ruminants</w:t>
            </w:r>
          </w:p>
        </w:tc>
        <w:tc>
          <w:tcPr/>
          <w:p>
            <w:pPr>
              <w:pStyle w:val="Compact"/>
              <w:jc w:val="left"/>
            </w:pPr>
            <w:r>
              <w:t xml:space="preserve">Feed efficiency, methane, fermentation</w:t>
            </w:r>
          </w:p>
        </w:tc>
        <w:tc>
          <w:tcPr/>
          <w:p>
            <w:pPr>
              <w:pStyle w:val="Compact"/>
              <w:jc w:val="left"/>
            </w:pPr>
            <w:r>
              <w:t xml:space="preserve">Rumen metagenomics/metatranscriptomics, VFA, methane, production traits, AMR genes</w:t>
            </w:r>
          </w:p>
        </w:tc>
        <w:tc>
          <w:tcPr/>
          <w:p>
            <w:pPr>
              <w:pStyle w:val="Compact"/>
              <w:jc w:val="left"/>
            </w:pPr>
            <w:r>
              <w:t xml:space="preserve">Herd-level production and environmental endpoints</w:t>
            </w:r>
          </w:p>
        </w:tc>
      </w:tr>
      <w:tr>
        <w:tc>
          <w:tcPr/>
          <w:p>
            <w:pPr>
              <w:pStyle w:val="Compact"/>
              <w:jc w:val="left"/>
            </w:pPr>
            <w:r>
              <w:t xml:space="preserve">Poultry</w:t>
            </w:r>
          </w:p>
        </w:tc>
        <w:tc>
          <w:tcPr/>
          <w:p>
            <w:pPr>
              <w:pStyle w:val="Compact"/>
              <w:jc w:val="left"/>
            </w:pPr>
            <w:r>
              <w:t xml:space="preserve">Feed conversion, necrotic enteritis, pathogen exclusion</w:t>
            </w:r>
          </w:p>
        </w:tc>
        <w:tc>
          <w:tcPr/>
          <w:p>
            <w:pPr>
              <w:pStyle w:val="Compact"/>
              <w:jc w:val="left"/>
            </w:pPr>
            <w:r>
              <w:t xml:space="preserve">Ceca/jejunum content, FCR, lesion score, pathogen load, AMR genes, litter microbiome</w:t>
            </w:r>
          </w:p>
        </w:tc>
        <w:tc>
          <w:tcPr/>
          <w:p>
            <w:pPr>
              <w:pStyle w:val="Compact"/>
              <w:jc w:val="left"/>
            </w:pPr>
            <w:r>
              <w:t xml:space="preserve">Flock-level intervention assessment with challenge-model validation</w:t>
            </w:r>
          </w:p>
        </w:tc>
      </w:tr>
      <w:tr>
        <w:tc>
          <w:tcPr/>
          <w:p>
            <w:pPr>
              <w:pStyle w:val="Compact"/>
              <w:jc w:val="left"/>
            </w:pPr>
            <w:r>
              <w:t xml:space="preserve">Aquaculture</w:t>
            </w:r>
          </w:p>
        </w:tc>
        <w:tc>
          <w:tcPr/>
          <w:p>
            <w:pPr>
              <w:pStyle w:val="Compact"/>
              <w:jc w:val="left"/>
            </w:pPr>
            <w:r>
              <w:t xml:space="preserve">Water–feed–host disease ecology</w:t>
            </w:r>
          </w:p>
        </w:tc>
        <w:tc>
          <w:tcPr/>
          <w:p>
            <w:pPr>
              <w:pStyle w:val="Compact"/>
              <w:jc w:val="left"/>
            </w:pPr>
            <w:r>
              <w:t xml:space="preserve">Gut, water, biofilm, feed, water quality, pathogen pressure, AMR resistome</w:t>
            </w:r>
          </w:p>
        </w:tc>
        <w:tc>
          <w:tcPr/>
          <w:p>
            <w:pPr>
              <w:pStyle w:val="Compact"/>
              <w:jc w:val="left"/>
            </w:pPr>
            <w:r>
              <w:t xml:space="preserve">System-level microbiome management with AMR monitoring</w:t>
            </w:r>
          </w:p>
        </w:tc>
      </w:tr>
    </w:tbl>
    <w:p>
      <w:r>
        <w:pict>
          <v:rect style="width:0;height:1.5pt" o:hralign="center" o:hrstd="t" o:hr="t"/>
        </w:pict>
      </w:r>
    </w:p>
    <w:bookmarkEnd w:id="53"/>
    <w:bookmarkEnd w:id="54"/>
    <w:bookmarkEnd w:id="55"/>
    <w:bookmarkStart w:id="60" w:name="Xeea6747fd7acd5863fac792390a55e8c48ece73"/>
    <w:p>
      <w:pPr>
        <w:pStyle w:val="Heading2"/>
      </w:pPr>
      <w:r>
        <w:t xml:space="preserve">4. Diagnostics and Interventions: What Is Defensible Now?</w:t>
      </w:r>
    </w:p>
    <w:bookmarkStart w:id="56" w:name="Xa956f4c581c451454fc2afcbd1d5781c745b84f"/>
    <w:p>
      <w:pPr>
        <w:pStyle w:val="Heading3"/>
      </w:pPr>
      <w:r>
        <w:t xml:space="preserve">4.1 Diagnostics: use only when a result can change a decision</w:t>
      </w:r>
    </w:p>
    <w:p>
      <w:pPr>
        <w:pStyle w:val="FirstParagraph"/>
      </w:pPr>
      <w:r>
        <w:t xml:space="preserve">A veterinary microbiome test should answer a pre-specified, actionable question.</w:t>
      </w:r>
      <w:r>
        <w:t xml:space="preserve"> </w:t>
      </w:r>
      <w:r>
        <w:t xml:space="preserve">“</w:t>
      </w:r>
      <w:r>
        <w:t xml:space="preserve">Is this animal healthy?</w:t>
      </w:r>
      <w:r>
        <w:t xml:space="preserve">”</w:t>
      </w:r>
      <w:r>
        <w:t xml:space="preserve"> </w:t>
      </w:r>
      <w:r>
        <w:t xml:space="preserve">is too broad to be useful. More defensible questions include: Is a dog with chronic enteropathy showing persistent fecal dysbiosis after dietary and antibiotic treatment? Has a horse’s fecal microbiome been significantly disrupted by a specific antimicrobial regimen? Are AMR genes enriched in a farm, flock, or hospital environment that poses transmission risk? Is a feed additive associated with improved performance and a plausible functional shift in the microbiome?</w:t>
      </w:r>
    </w:p>
    <w:p>
      <w:pPr>
        <w:pStyle w:val="BodyText"/>
      </w:pPr>
      <w:r>
        <w:t xml:space="preserve">Commercial microbiome tests marketed directly to pet owners or producers often overstate clinical precision. Reports that categorise taxa as</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without species-specific validation, dietary co-variates, reference population transparency, and demonstrated outcome improvement are not yet clinical decision tools [35,42,76]. The 2025 international consensus on clinical microbiome testing in humans concluded that most available tests lack sufficient analytical validity, clinical validity, and clinical utility to justify widespread adoption in clinical settings, and that direct-to-consumer tests may cause harm by diverting resources and misleading clinical management [35]. The same critical framework applies to veterinary settings.</w:t>
      </w:r>
    </w:p>
    <w:p>
      <w:pPr>
        <w:pStyle w:val="BodyText"/>
      </w:pPr>
      <w:r>
        <w:t xml:space="preserve">The most defensible current uses of veterinary microbiome testing are: (i) the canine and feline dysbiosis index as an adjunct in confirmed or suspected chronic enteropathy, trended across time and linked to clinical activity scores [1,42,121]; (ii) metagenomic resistome analysis in high-risk farm, hospital, or food-chain environments where AMR policy decisions depend on burden estimates [5,6,34]; (iii) targeted culture plus WGS for pathogen and strain identification in outbreak or transmission investigations [103,104,106,107]; (iv) longitudinal microbiome characterisation in controlled research interventions with pre-specified endpoints.</w:t>
      </w:r>
    </w:p>
    <w:bookmarkEnd w:id="56"/>
    <w:bookmarkStart w:id="57" w:name="X5d557c30bece654ab9dc6eb1c0f29f72b92c2cc"/>
    <w:p>
      <w:pPr>
        <w:pStyle w:val="Heading3"/>
      </w:pPr>
      <w:r>
        <w:t xml:space="preserve">4.2 Diet, prebiotics, probiotics, and synbiotics</w:t>
      </w:r>
    </w:p>
    <w:p>
      <w:pPr>
        <w:pStyle w:val="FirstParagraph"/>
      </w:pPr>
      <w:r>
        <w:t xml:space="preserve">Diet is the most practical, biologically credible, and evidence-supported microbiome intervention. In dogs, a large-effect dietary influence on the fecal metagenome is well-documented [10], and diet trials are first-line management for many chronic enteropathy cases. In cats, hydrolysed protein diets change not only clinical signs but also fecal and plasma metabolomes, with tryptophan and bile acid pathways as sensitive readouts [16]. In horses, high-starch or low-fibre feeding rapidly shifts hindgut fermentation toward acid-producing bacteria and away from fibrolytic anaerobes; restoring forage-first feeding is more biologically justified than adding probiotics to a high-starch diet [21,53]. In ruminants and poultry, diet is the dominant lever for both performance and AMR outcomes.</w:t>
      </w:r>
    </w:p>
    <w:p>
      <w:pPr>
        <w:pStyle w:val="BodyText"/>
      </w:pPr>
      <w:r>
        <w:rPr>
          <w:bCs/>
          <w:b/>
        </w:rPr>
        <w:t xml:space="preserve">Prebiotics</w:t>
      </w:r>
      <w:r>
        <w:t xml:space="preserve"> </w:t>
      </w:r>
      <w:r>
        <w:t xml:space="preserve">are defined as selectively fermented substrates that confer a health benefit through changes in composition or activity of the host microbiota [80]. FOS, MOS, inulin, and arabinoxylan are the best-studied in food animals and companion animals. Prebiotic effects are substrate-, dose-, species-, and microbiome-state-specific; a prebiotic shown to increase butyrate in one species or life stage cannot be assumed to do the same in another [61,80,82]. Poultry prebiotic studies are among the most controlled in veterinary medicine, often including challenge models and production endpoints alongside microbiome data [61,63].</w:t>
      </w:r>
    </w:p>
    <w:p>
      <w:pPr>
        <w:pStyle w:val="BodyText"/>
      </w:pPr>
      <w:r>
        <w:rPr>
          <w:bCs/>
          <w:b/>
        </w:rPr>
        <w:t xml:space="preserve">Probiotics</w:t>
      </w:r>
      <w:r>
        <w:t xml:space="preserve"> </w:t>
      </w:r>
      <w:r>
        <w:t xml:space="preserve">are defined as live microorganisms that, when administered in adequate amounts, confer a health benefit on the host [81]. The qualification</w:t>
      </w:r>
      <w:r>
        <w:t xml:space="preserve"> </w:t>
      </w:r>
      <w:r>
        <w:t xml:space="preserve">“</w:t>
      </w:r>
      <w:r>
        <w:t xml:space="preserve">in adequate amounts</w:t>
      </w:r>
      <w:r>
        <w:t xml:space="preserve">”</w:t>
      </w:r>
      <w:r>
        <w:t xml:space="preserve"> </w:t>
      </w:r>
      <w:r>
        <w:t xml:space="preserve">matters: many commercial veterinary probiotics lack evidence for species-specific colonisation, viable CFU at time of use, or clinical efficacy. A Cell study demonstrating that empiric probiotic use after antibiotics paradoxically delays microbiome recovery compared with spontaneous reconstitution or autologous FMT underlines that</w:t>
      </w:r>
      <w:r>
        <w:t xml:space="preserve"> </w:t>
      </w:r>
      <w:r>
        <w:t xml:space="preserve">“</w:t>
      </w:r>
      <w:r>
        <w:t xml:space="preserve">probiotic</w:t>
      </w:r>
      <w:r>
        <w:t xml:space="preserve">”</w:t>
      </w:r>
      <w:r>
        <w:t xml:space="preserve"> </w:t>
      </w:r>
      <w:r>
        <w:t xml:space="preserve">is not synonymous with</w:t>
      </w:r>
      <w:r>
        <w:t xml:space="preserve"> </w:t>
      </w:r>
      <w:r>
        <w:t xml:space="preserve">“</w:t>
      </w:r>
      <w:r>
        <w:t xml:space="preserve">microbiome restoration</w:t>
      </w:r>
      <w:r>
        <w:t xml:space="preserve">”</w:t>
      </w:r>
      <w:r>
        <w:t xml:space="preserve"> </w:t>
      </w:r>
      <w:r>
        <w:t xml:space="preserve">[83]. Species-specific, strain-level evidence with validated clinical outcomes should be the minimum standard before a probiotic claim is made in veterinary practice [81,82]. The poultry live biotherapeutic work using engineered nanobody-secreting</w:t>
      </w:r>
      <w:r>
        <w:t xml:space="preserve"> </w:t>
      </w:r>
      <w:r>
        <w:rPr>
          <w:iCs/>
          <w:i/>
        </w:rPr>
        <w:t xml:space="preserve">L. reuteri</w:t>
      </w:r>
      <w:r>
        <w:t xml:space="preserve"> </w:t>
      </w:r>
      <w:r>
        <w:t xml:space="preserve">illustrates the future direction: strain-specific, target-defined, endpoint-validated [31].</w:t>
      </w:r>
    </w:p>
    <w:p>
      <w:pPr>
        <w:pStyle w:val="BodyText"/>
      </w:pPr>
      <w:r>
        <w:rPr>
          <w:bCs/>
          <w:b/>
        </w:rPr>
        <w:t xml:space="preserve">Synbiotics</w:t>
      </w:r>
      <w:r>
        <w:t xml:space="preserve"> </w:t>
      </w:r>
      <w:r>
        <w:t xml:space="preserve">pair a probiotic with its preferred substrate to improve survival, colonisation, and activity. Synbiotic studies in poultry challenge models [30] and in aquaculture [33] provide the most controlled veterinary evidence. Cat synbiotic trials provide useful methodological templates for companion-animal synbiotic research [49].</w:t>
      </w:r>
    </w:p>
    <w:bookmarkEnd w:id="57"/>
    <w:bookmarkStart w:id="58" w:name="fecal-microbiota-transplantation"/>
    <w:p>
      <w:pPr>
        <w:pStyle w:val="Heading3"/>
      </w:pPr>
      <w:r>
        <w:t xml:space="preserve">4.3 Fecal microbiota transplantation</w:t>
      </w:r>
    </w:p>
    <w:p>
      <w:pPr>
        <w:pStyle w:val="FirstParagraph"/>
      </w:pPr>
      <w:r>
        <w:t xml:space="preserve">FMT is attractive because it transfers a community rather than a single organism and can potentially restore colonisation resistance, metabolic function, and immune tone more broadly than single-strain interventions [67,71]. In human medicine, FMT for recurrent</w:t>
      </w:r>
      <w:r>
        <w:t xml:space="preserve"> </w:t>
      </w:r>
      <w:r>
        <w:rPr>
          <w:iCs/>
          <w:i/>
        </w:rPr>
        <w:t xml:space="preserve">C. difficile</w:t>
      </w:r>
      <w:r>
        <w:t xml:space="preserve"> </w:t>
      </w:r>
      <w:r>
        <w:t xml:space="preserve">infection (CDI) has level-1 evidence from multiple randomised trials and has become standard of care in many settings [67,70,72]. In veterinary medicine, FMT evidence is strongest for canine chronic enteropathy [11–13,119], weaker for equine AAD and colitis, and minimal for other species and conditions.</w:t>
      </w:r>
    </w:p>
    <w:p>
      <w:pPr>
        <w:pStyle w:val="BodyText"/>
      </w:pPr>
      <w:r>
        <w:t xml:space="preserve">Donor variability, transfer route (enema vs. nasoduodenal vs. colonoscopic vs. oral capsule), storage and cryoprotection, recipient microbiome niche, concurrent diet, and antimicrobial history all influence FMT engraftment and outcome [67,71,134]. The key finding from recent canine trials—that clinical improvement can occur without consistent community-level engraftment—suggests that FMT may work partly through metabolite transfer, immune modulation, or transient microbial activity rather than stable recipient colonisation [11,12,13]. This mechanistic ambiguity mirrors observations in human UC FMT trials [69,134].</w:t>
      </w:r>
    </w:p>
    <w:p>
      <w:pPr>
        <w:pStyle w:val="BodyText"/>
      </w:pPr>
      <w:r>
        <w:t xml:space="preserve">A European consensus on FMT in clinical practice provides a framework for donor screening, preparation, route, and safety monitoring that veterinary practitioners can adapt [71]. The minimum standard for veterinary FMT should include: screened donor (free of enteropathogens, AMR organisms, and known zoonotic agents); documented indication with failed prior management; owner consent including disclosure of experimental status; follow-up microbiome and clinical outcome monitoring; and institutional or practice-level protocol documentation [71,111].</w:t>
      </w:r>
    </w:p>
    <w:bookmarkEnd w:id="58"/>
    <w:bookmarkStart w:id="59" w:name="X3c0f4234e321e97440608d1f2fdd549480d485d"/>
    <w:p>
      <w:pPr>
        <w:pStyle w:val="Heading3"/>
      </w:pPr>
      <w:r>
        <w:t xml:space="preserve">4.4 Phages, defined consortia, and engineered live biotherapeutics</w:t>
      </w:r>
    </w:p>
    <w:p>
      <w:pPr>
        <w:pStyle w:val="FirstParagraph"/>
      </w:pPr>
      <w:r>
        <w:t xml:space="preserve">Bacteriophages, defined microbial consortia, and engineered live biotherapeutics offer more precision than whole-stool FMT. Human CDI trials show that defined microbiome therapeutics can achieve clinical efficacy comparable to traditional FMT [36,37], but veterinary translation must consider species-specific microbiome ecology, regulatory frameworks, manufacturing requirements, environmental release risk, and food-chain safety.</w:t>
      </w:r>
    </w:p>
    <w:p>
      <w:pPr>
        <w:pStyle w:val="BodyText"/>
      </w:pPr>
      <w:r>
        <w:t xml:space="preserve">VE303, a defined eight-strain bacterial consortium of Clostridia, reduced CDI recurrence versus placebo in a randomised trial, demonstrating that a composition-defined, manufacturable product can work without full community transfer [37]. SER-109 (later approved as VOWST/oral spores) showed CDI recurrence rates of 12% versus 40% for placebo at week 8 in a NEJM phase 3 trial [36]. These trials illustrate the translational pathway: defined indication → standardised product → randomised controlled trial → regulatory approval. Veterinary microbiome therapeutics should aspire to this pathway rather than rely on empiric use of uncharacterised donor material.</w:t>
      </w:r>
    </w:p>
    <w:p>
      <w:pPr>
        <w:pStyle w:val="BodyText"/>
      </w:pPr>
      <w:r>
        <w:t xml:space="preserve">In poultry, the engineered</w:t>
      </w:r>
      <w:r>
        <w:t xml:space="preserve"> </w:t>
      </w:r>
      <w:r>
        <w:rPr>
          <w:iCs/>
          <w:i/>
        </w:rPr>
        <w:t xml:space="preserve">L. reuteri</w:t>
      </w:r>
      <w:r>
        <w:t xml:space="preserve"> </w:t>
      </w:r>
      <w:r>
        <w:t xml:space="preserve">nanobody delivery study [31] is the most advanced veterinary example of this trajectory. In aquaculture and ruminant research, defined consortia are emerging from mechanistic studies. In companion animals, the field is at an earlier stage, with most FMT work still using whole stool and lacking strain-resolved tracking.</w:t>
      </w:r>
    </w:p>
    <w:p>
      <w:pPr>
        <w:pStyle w:val="BodyText"/>
      </w:pPr>
      <w:r>
        <w:rPr>
          <w:bCs/>
          <w:b/>
        </w:rPr>
        <w:t xml:space="preserve">Table 3. Intervention claims that are currently defensible versus premature.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Intervention</w:t>
            </w:r>
          </w:p>
        </w:tc>
        <w:tc>
          <w:tcPr/>
          <w:p>
            <w:pPr>
              <w:pStyle w:val="Compact"/>
              <w:jc w:val="left"/>
            </w:pPr>
            <w:r>
              <w:t xml:space="preserve">Defensible claim</w:t>
            </w:r>
          </w:p>
        </w:tc>
        <w:tc>
          <w:tcPr/>
          <w:p>
            <w:pPr>
              <w:pStyle w:val="Compact"/>
              <w:jc w:val="left"/>
            </w:pPr>
            <w:r>
              <w:t xml:space="preserve">Premature claim</w:t>
            </w:r>
          </w:p>
        </w:tc>
        <w:tc>
          <w:tcPr/>
          <w:p>
            <w:pPr>
              <w:pStyle w:val="Compact"/>
              <w:jc w:val="left"/>
            </w:pPr>
            <w:r>
              <w:t xml:space="preserve">Minimum evidence needed for stronger use</w:t>
            </w:r>
          </w:p>
        </w:tc>
      </w:tr>
      <w:tr>
        <w:tc>
          <w:tcPr/>
          <w:p>
            <w:pPr>
              <w:pStyle w:val="Compact"/>
              <w:jc w:val="left"/>
            </w:pPr>
            <w:r>
              <w:t xml:space="preserve">Diet change</w:t>
            </w:r>
          </w:p>
        </w:tc>
        <w:tc>
          <w:tcPr/>
          <w:p>
            <w:pPr>
              <w:pStyle w:val="Compact"/>
              <w:jc w:val="left"/>
            </w:pPr>
            <w:r>
              <w:t xml:space="preserve">Major modulator of gut microbial function and clinical signs in selected GI diseases</w:t>
            </w:r>
          </w:p>
        </w:tc>
        <w:tc>
          <w:tcPr/>
          <w:p>
            <w:pPr>
              <w:pStyle w:val="Compact"/>
              <w:jc w:val="left"/>
            </w:pPr>
            <w:r>
              <w:t xml:space="preserve">Universal microbiome optimisation</w:t>
            </w:r>
          </w:p>
        </w:tc>
        <w:tc>
          <w:tcPr/>
          <w:p>
            <w:pPr>
              <w:pStyle w:val="Compact"/>
              <w:jc w:val="left"/>
            </w:pPr>
            <w:r>
              <w:t xml:space="preserve">Controlled diet trials with metabolite and clinical endpoints</w:t>
            </w:r>
          </w:p>
        </w:tc>
      </w:tr>
      <w:tr>
        <w:tc>
          <w:tcPr/>
          <w:p>
            <w:pPr>
              <w:pStyle w:val="Compact"/>
              <w:jc w:val="left"/>
            </w:pPr>
            <w:r>
              <w:t xml:space="preserve">Probiotics</w:t>
            </w:r>
          </w:p>
        </w:tc>
        <w:tc>
          <w:tcPr/>
          <w:p>
            <w:pPr>
              <w:pStyle w:val="Compact"/>
              <w:jc w:val="left"/>
            </w:pPr>
            <w:r>
              <w:t xml:space="preserve">May help specific indications when strain, dose, and product quality are validated</w:t>
            </w:r>
          </w:p>
        </w:tc>
        <w:tc>
          <w:tcPr/>
          <w:p>
            <w:pPr>
              <w:pStyle w:val="Compact"/>
              <w:jc w:val="left"/>
            </w:pPr>
            <w:r>
              <w:t xml:space="preserve">Any probiotic restores the healthy microbiome</w:t>
            </w:r>
          </w:p>
        </w:tc>
        <w:tc>
          <w:tcPr/>
          <w:p>
            <w:pPr>
              <w:pStyle w:val="Compact"/>
              <w:jc w:val="left"/>
            </w:pPr>
            <w:r>
              <w:t xml:space="preserve">Strain-resolved trials with outcome endpoints; post-antibiotic probiotics may delay recovery</w:t>
            </w:r>
          </w:p>
        </w:tc>
      </w:tr>
      <w:tr>
        <w:tc>
          <w:tcPr/>
          <w:p>
            <w:pPr>
              <w:pStyle w:val="Compact"/>
              <w:jc w:val="left"/>
            </w:pPr>
            <w:r>
              <w:t xml:space="preserve">Prebiotics/synbiotics</w:t>
            </w:r>
          </w:p>
        </w:tc>
        <w:tc>
          <w:tcPr/>
          <w:p>
            <w:pPr>
              <w:pStyle w:val="Compact"/>
              <w:jc w:val="left"/>
            </w:pPr>
            <w:r>
              <w:t xml:space="preserve">Can alter substrate flow and fermentation ecology</w:t>
            </w:r>
          </w:p>
        </w:tc>
        <w:tc>
          <w:tcPr/>
          <w:p>
            <w:pPr>
              <w:pStyle w:val="Compact"/>
              <w:jc w:val="left"/>
            </w:pPr>
            <w:r>
              <w:t xml:space="preserve">Benefits are transferable across species</w:t>
            </w:r>
          </w:p>
        </w:tc>
        <w:tc>
          <w:tcPr/>
          <w:p>
            <w:pPr>
              <w:pStyle w:val="Compact"/>
              <w:jc w:val="left"/>
            </w:pPr>
            <w:r>
              <w:t xml:space="preserve">Species- and diet-specific controlled studies with functional endpoints</w:t>
            </w:r>
          </w:p>
        </w:tc>
      </w:tr>
      <w:tr>
        <w:tc>
          <w:tcPr/>
          <w:p>
            <w:pPr>
              <w:pStyle w:val="Compact"/>
              <w:jc w:val="left"/>
            </w:pPr>
            <w:r>
              <w:t xml:space="preserve">FMT</w:t>
            </w:r>
          </w:p>
        </w:tc>
        <w:tc>
          <w:tcPr/>
          <w:p>
            <w:pPr>
              <w:pStyle w:val="Compact"/>
              <w:jc w:val="left"/>
            </w:pPr>
            <w:r>
              <w:t xml:space="preserve">Promising in selected canine chronic enteropathy cases; standard of care in human CDI</w:t>
            </w:r>
          </w:p>
        </w:tc>
        <w:tc>
          <w:tcPr/>
          <w:p>
            <w:pPr>
              <w:pStyle w:val="Compact"/>
              <w:jc w:val="left"/>
            </w:pPr>
            <w:r>
              <w:t xml:space="preserve">General treatment for vague dysbiosis</w:t>
            </w:r>
          </w:p>
        </w:tc>
        <w:tc>
          <w:tcPr/>
          <w:p>
            <w:pPr>
              <w:pStyle w:val="Compact"/>
              <w:jc w:val="left"/>
            </w:pPr>
            <w:r>
              <w:t xml:space="preserve">Donor screening, controlled trials, engraftment or function tracking</w:t>
            </w:r>
          </w:p>
        </w:tc>
      </w:tr>
      <w:tr>
        <w:tc>
          <w:tcPr/>
          <w:p>
            <w:pPr>
              <w:pStyle w:val="Compact"/>
              <w:jc w:val="left"/>
            </w:pPr>
            <w:r>
              <w:t xml:space="preserve">Phages</w:t>
            </w:r>
          </w:p>
        </w:tc>
        <w:tc>
          <w:tcPr/>
          <w:p>
            <w:pPr>
              <w:pStyle w:val="Compact"/>
              <w:jc w:val="left"/>
            </w:pPr>
            <w:r>
              <w:t xml:space="preserve">Plausible targeted pathogen control</w:t>
            </w:r>
          </w:p>
        </w:tc>
        <w:tc>
          <w:tcPr/>
          <w:p>
            <w:pPr>
              <w:pStyle w:val="Compact"/>
              <w:jc w:val="left"/>
            </w:pPr>
            <w:r>
              <w:t xml:space="preserve">Broad microbiome-safe antibiotic replacement</w:t>
            </w:r>
          </w:p>
        </w:tc>
        <w:tc>
          <w:tcPr/>
          <w:p>
            <w:pPr>
              <w:pStyle w:val="Compact"/>
              <w:jc w:val="left"/>
            </w:pPr>
            <w:r>
              <w:t xml:space="preserve">Pathogen-specific efficacy, resistance monitoring, regulatory clarity</w:t>
            </w:r>
          </w:p>
        </w:tc>
      </w:tr>
      <w:tr>
        <w:tc>
          <w:tcPr/>
          <w:p>
            <w:pPr>
              <w:pStyle w:val="Compact"/>
              <w:jc w:val="left"/>
            </w:pPr>
            <w:r>
              <w:t xml:space="preserve">Defined consortia/LBPs</w:t>
            </w:r>
          </w:p>
        </w:tc>
        <w:tc>
          <w:tcPr/>
          <w:p>
            <w:pPr>
              <w:pStyle w:val="Compact"/>
              <w:jc w:val="left"/>
            </w:pPr>
            <w:r>
              <w:t xml:space="preserve">Future precision platform; validated in human CDI</w:t>
            </w:r>
          </w:p>
        </w:tc>
        <w:tc>
          <w:tcPr/>
          <w:p>
            <w:pPr>
              <w:pStyle w:val="Compact"/>
              <w:jc w:val="left"/>
            </w:pPr>
            <w:r>
              <w:t xml:space="preserve">Routine veterinary therapy now</w:t>
            </w:r>
          </w:p>
        </w:tc>
        <w:tc>
          <w:tcPr/>
          <w:p>
            <w:pPr>
              <w:pStyle w:val="Compact"/>
              <w:jc w:val="left"/>
            </w:pPr>
            <w:r>
              <w:t xml:space="preserve">Manufacturing, safety, colonisation, and efficacy data in target species</w:t>
            </w:r>
          </w:p>
        </w:tc>
      </w:tr>
    </w:tbl>
    <w:p>
      <w:r>
        <w:pict>
          <v:rect style="width:0;height:1.5pt" o:hralign="center" o:hrstd="t" o:hr="t"/>
        </w:pict>
      </w:r>
    </w:p>
    <w:bookmarkEnd w:id="59"/>
    <w:bookmarkEnd w:id="60"/>
    <w:bookmarkStart w:id="66" w:name="X3354cbfe20a56bebb965a0b6364629c65fedce8"/>
    <w:p>
      <w:pPr>
        <w:pStyle w:val="Heading2"/>
      </w:pPr>
      <w:r>
        <w:t xml:space="preserve">5. Human Microbiome Medicine as a Translational Model—But Not a Template—for Veterinary Medicine</w:t>
      </w:r>
    </w:p>
    <w:bookmarkStart w:id="61" w:name="X3f32b0861b4f4d22f1921de5aebbd1271a13f2f"/>
    <w:p>
      <w:pPr>
        <w:pStyle w:val="Heading3"/>
      </w:pPr>
      <w:r>
        <w:t xml:space="preserve">5.1 From descriptive associations to regulated therapeutics: the human experience</w:t>
      </w:r>
    </w:p>
    <w:p>
      <w:pPr>
        <w:pStyle w:val="FirstParagraph"/>
      </w:pPr>
      <w:r>
        <w:t xml:space="preserve">Human microbiome research provides the most developed roadmap for moving from community description to clinical action, and its trajectory is instructive for veterinary practitioners and researchers. Over the past 25 years, the field has progressed from cataloguing taxa in health and disease [74,75] to mechanistic understanding of how diet, host genetics, antimicrobials, and early-life events shape long-term microbiome composition and disease risk [77,78,80,81,120,138], to the current phase of defining when and how to intervene therapeutically [35,36,37,40,73,76].</w:t>
      </w:r>
    </w:p>
    <w:p>
      <w:pPr>
        <w:pStyle w:val="BodyText"/>
      </w:pPr>
      <w:r>
        <w:t xml:space="preserve">A 2025 Cell perspective titled</w:t>
      </w:r>
      <w:r>
        <w:t xml:space="preserve"> </w:t>
      </w:r>
      <w:r>
        <w:t xml:space="preserve">“</w:t>
      </w:r>
      <w:r>
        <w:t xml:space="preserve">The microbiome for clinicians</w:t>
      </w:r>
      <w:r>
        <w:t xml:space="preserve">”</w:t>
      </w:r>
      <w:r>
        <w:t xml:space="preserve"> </w:t>
      </w:r>
      <w:r>
        <w:t xml:space="preserve">synthesised the current state of human microbiome medicine: evidence that specific microbial features are causally linked to disease is available for only a limited number of conditions; most associations between microbiome composition and disease are confounded by diet, medication, and host factors; and clinical translation requires standardised measurements, validated indications, controlled trials, and reproducible therapeutic products [40]. This assessment—cautious but not dismissive—should frame veterinary microbiome medicine.</w:t>
      </w:r>
    </w:p>
    <w:p>
      <w:pPr>
        <w:pStyle w:val="BodyText"/>
      </w:pPr>
      <w:r>
        <w:t xml:space="preserve">The Human Microbiome Project established the reference for human microbiome composition across body sites in healthy adults [74] and motivated a wave of disease-association studies that now number in the thousands. A parallel analysis of the gut microbial gene catalog established the breadth of functional gene content in the human gut [75]. These efforts demonstrated that the healthy microbiome is not a fixed entity but a dynamic, individualised ecosystem shaped by host, diet, geography, and life stage [77,78,120,138].</w:t>
      </w:r>
    </w:p>
    <w:bookmarkEnd w:id="61"/>
    <w:bookmarkStart w:id="62" w:name="Xd401a90c3bc25a04f41db7df9d978c584c0c50e"/>
    <w:p>
      <w:pPr>
        <w:pStyle w:val="Heading3"/>
      </w:pPr>
      <w:r>
        <w:t xml:space="preserve">5.2 FMT: from experimental to standard of care for CDI</w:t>
      </w:r>
    </w:p>
    <w:p>
      <w:pPr>
        <w:pStyle w:val="FirstParagraph"/>
      </w:pPr>
      <w:r>
        <w:t xml:space="preserve">FMT’s clinical legitimacy was established by van Nood et al.’s 2013 NEJM trial, which stopped early because FMT was so superior to vancomycin for recurrent CDI (81% resolution vs. 31%) that continuing placebo allocation was deemed unethical [67]. Subsequent randomised trials confirmed FMT efficacy across multiple routes and donor–recipient configurations for recurrent CDI [70,72]. The European consensus on FMT provided standardised guidance for donor screening, preparation, and safety monitoring [71]. For other indications—ulcerative colitis, Crohn’s disease, irritable bowel syndrome, metabolic disease—evidence from randomised trials is more modest and inconsistent [68,69], partly reflecting donor variability, heterogeneous trial designs, and incomplete understanding of engraftment determinants [134].</w:t>
      </w:r>
    </w:p>
    <w:p>
      <w:pPr>
        <w:pStyle w:val="BodyText"/>
      </w:pPr>
      <w:r>
        <w:t xml:space="preserve">The practical lesson for veterinary FMT is: (i) the strongest evidence in humans is for a specific, pathogen-defined indication (CDI) and a defined perturbation context (post-antibiotic microbiome collapse); (ii) FMT efficacy for vaguer</w:t>
      </w:r>
      <w:r>
        <w:t xml:space="preserve"> </w:t>
      </w:r>
      <w:r>
        <w:t xml:space="preserve">“</w:t>
      </w:r>
      <w:r>
        <w:t xml:space="preserve">dysbiosis</w:t>
      </w:r>
      <w:r>
        <w:t xml:space="preserve">”</w:t>
      </w:r>
      <w:r>
        <w:t xml:space="preserve"> </w:t>
      </w:r>
      <w:r>
        <w:t xml:space="preserve">or</w:t>
      </w:r>
      <w:r>
        <w:t xml:space="preserve"> </w:t>
      </w:r>
      <w:r>
        <w:t xml:space="preserve">“</w:t>
      </w:r>
      <w:r>
        <w:t xml:space="preserve">gut health</w:t>
      </w:r>
      <w:r>
        <w:t xml:space="preserve">”</w:t>
      </w:r>
      <w:r>
        <w:t xml:space="preserve"> </w:t>
      </w:r>
      <w:r>
        <w:t xml:space="preserve">indications is not well supported even in humans; (iii) controlled veterinary FMT trials should specify the indication, quantify the perturbation, measure engraftment functionally or by strain tracking, and use validated clinical endpoints [11–13,111,119].</w:t>
      </w:r>
    </w:p>
    <w:bookmarkEnd w:id="62"/>
    <w:bookmarkStart w:id="63" w:name="X4a8b73f9efeec36a28fe29eb5e7038954433b21"/>
    <w:p>
      <w:pPr>
        <w:pStyle w:val="Heading3"/>
      </w:pPr>
      <w:r>
        <w:t xml:space="preserve">5.3 Standardised microbiome-based products: REBYOTA, VOWST, and VE303</w:t>
      </w:r>
    </w:p>
    <w:p>
      <w:pPr>
        <w:pStyle w:val="FirstParagraph"/>
      </w:pPr>
      <w:r>
        <w:t xml:space="preserve">Human medicine has now produced the first FDA-regulated microbiome-based products:</w:t>
      </w:r>
    </w:p>
    <w:p>
      <w:pPr>
        <w:numPr>
          <w:ilvl w:val="0"/>
          <w:numId w:val="1001"/>
        </w:numPr>
      </w:pPr>
      <w:r>
        <w:rPr>
          <w:bCs/>
          <w:b/>
        </w:rPr>
        <w:t xml:space="preserve">REBYOTA</w:t>
      </w:r>
      <w:r>
        <w:t xml:space="preserve"> </w:t>
      </w:r>
      <w:r>
        <w:t xml:space="preserve">(fecal microbiota, live-jslm; Ferring Pharmaceuticals), a rectally administered broad-spectrum fecal microbiota product, received FDA approval in November 2022 for the prevention of CDI recurrence in adults ≥18 years following antibiotic treatment. Phase 3 data showed a single dose achieved approximately 70% success rate in preventing CDI recurrence at eight weeks, versus approximately 58% for placebo, with a favourable safety profile [84].</w:t>
      </w:r>
    </w:p>
    <w:p>
      <w:pPr>
        <w:numPr>
          <w:ilvl w:val="0"/>
          <w:numId w:val="1001"/>
        </w:numPr>
      </w:pPr>
      <w:r>
        <w:rPr>
          <w:bCs/>
          <w:b/>
        </w:rPr>
        <w:t xml:space="preserve">VOWST</w:t>
      </w:r>
      <w:r>
        <w:t xml:space="preserve"> </w:t>
      </w:r>
      <w:r>
        <w:t xml:space="preserve">(fecal microbiota spores, live-brpk; Seres Therapeutics), the first orally administered microbiome-based product, received FDA approval in April 2023 for the same indication. Its active component is a defined consortium of Firmicutes spores (SER-109) that colonise the depleted post-antibiotic colon. The ECOSPOR III trial (NEJM, 2022) demonstrated CDI recurrence of 12% for SER-109 versus 40% for placebo at week 8, with recurrence rates of 21.3% versus 47.3% at week 24 [36].</w:t>
      </w:r>
    </w:p>
    <w:p>
      <w:pPr>
        <w:numPr>
          <w:ilvl w:val="0"/>
          <w:numId w:val="1001"/>
        </w:numPr>
      </w:pPr>
      <w:r>
        <w:rPr>
          <w:bCs/>
          <w:b/>
        </w:rPr>
        <w:t xml:space="preserve">VE303</w:t>
      </w:r>
      <w:r>
        <w:t xml:space="preserve">, a defined consortium of eight non-toxigenic</w:t>
      </w:r>
      <w:r>
        <w:t xml:space="preserve"> </w:t>
      </w:r>
      <w:r>
        <w:rPr>
          <w:iCs/>
          <w:i/>
        </w:rPr>
        <w:t xml:space="preserve">Clostridia</w:t>
      </w:r>
      <w:r>
        <w:t xml:space="preserve"> </w:t>
      </w:r>
      <w:r>
        <w:t xml:space="preserve">strains, reduced CDI recurrence versus placebo in a JAMA randomised clinical trial, demonstrating that a composition-defined, manufactured product can work without full community transfer [37].</w:t>
      </w:r>
    </w:p>
    <w:p>
      <w:pPr>
        <w:pStyle w:val="FirstParagraph"/>
      </w:pPr>
      <w:r>
        <w:t xml:space="preserve">These regulatory achievements are important for veterinary medicine in three ways. First, they demonstrate that</w:t>
      </w:r>
      <w:r>
        <w:t xml:space="preserve"> </w:t>
      </w:r>
      <w:r>
        <w:t xml:space="preserve">“</w:t>
      </w:r>
      <w:r>
        <w:t xml:space="preserve">microbiome therapy</w:t>
      </w:r>
      <w:r>
        <w:t xml:space="preserve">”</w:t>
      </w:r>
      <w:r>
        <w:t xml:space="preserve"> </w:t>
      </w:r>
      <w:r>
        <w:t xml:space="preserve">can satisfy the rigorous standards of pharmaceutical regulation—safety, manufacturing consistency, clinical evidence, defined indication. Second, they reveal the minimum evidence package required: controlled trials with pre-specified clinical endpoints, manufacturing-grade consistency, strain-level safety data, and post-marketing surveillance. Third, they caution against importing human products to veterinary use without species-specific validation: canine, equine, and bovine microbiomes differ from human microbiomes at species and strain levels, and donor-derived human products are unlikely to colonise animal intestines effectively.</w:t>
      </w:r>
    </w:p>
    <w:bookmarkEnd w:id="63"/>
    <w:bookmarkStart w:id="64" w:name="X16aa58cd69039b62fe95885b4d1c2b280112f7c"/>
    <w:p>
      <w:pPr>
        <w:pStyle w:val="Heading3"/>
      </w:pPr>
      <w:r>
        <w:t xml:space="preserve">5.4 Clinical microbiome testing: the consensus perspective</w:t>
      </w:r>
    </w:p>
    <w:p>
      <w:pPr>
        <w:pStyle w:val="FirstParagraph"/>
      </w:pPr>
      <w:r>
        <w:t xml:space="preserve">The 2025 Lancet Gastroenterology &amp; Hepatology international consensus statement on microbiome testing in clinical practice concluded that most currently available microbiome tests lack sufficient clinical validity and utility to justify routine use in human medicine, and that direct-to-consumer marketing without regulatory oversight and indication-specific validation poses risks of resource misallocation and clinical misdirection [35]. The statement’s evaluation framework—analytical validity (does the test measure what it claims?), clinical validity (does the measure correlate with the clinical outcome of interest?), clinical utility (does the test result change management in a way that improves outcomes?)—is directly applicable to veterinary settings [35,42,76].</w:t>
      </w:r>
    </w:p>
    <w:p>
      <w:pPr>
        <w:pStyle w:val="BodyText"/>
      </w:pPr>
      <w:r>
        <w:t xml:space="preserve">Commercial veterinary microbiome tests that report taxon rankings without dietary co-variates, validated reference populations, or demonstrated clinical utility should be evaluated against this three-level framework before practitioners adopt them into routine management. The canine and feline dysbiosis index, by contrast, partially satisfies analytical and clinical validity criteria [1,42,121] even while its clinical utility (changing management in a way that improves outcomes) remains under investigation.</w:t>
      </w:r>
    </w:p>
    <w:bookmarkEnd w:id="64"/>
    <w:bookmarkStart w:id="65" w:name="X0c273bbab425d0e6d52cc28225b8cf5bbead1d4"/>
    <w:p>
      <w:pPr>
        <w:pStyle w:val="Heading3"/>
      </w:pPr>
      <w:r>
        <w:t xml:space="preserve">5.5 What veterinary medicine contributes back to One Health and human microbiome science</w:t>
      </w:r>
    </w:p>
    <w:p>
      <w:pPr>
        <w:pStyle w:val="FirstParagraph"/>
      </w:pPr>
      <w:r>
        <w:t xml:space="preserve">Veterinary medicine is not only a recipient of translational lessons from human microbiome research; it makes important contributions back:</w:t>
      </w:r>
    </w:p>
    <w:p>
      <w:pPr>
        <w:numPr>
          <w:ilvl w:val="0"/>
          <w:numId w:val="1002"/>
        </w:numPr>
      </w:pPr>
      <w:r>
        <w:rPr>
          <w:bCs/>
          <w:b/>
        </w:rPr>
        <w:t xml:space="preserve">Natural-disease models.</w:t>
      </w:r>
      <w:r>
        <w:t xml:space="preserve"> </w:t>
      </w:r>
      <w:r>
        <w:t xml:space="preserve">Dogs with naturally occurring chronic enteropathy, cats with IBD/SCL overlap, horses with antibiotic-associated colitis, and dairy cows with dysbiosis associated with transition-period disease are all models with clinical phenotypes absent in laboratory rodents [46,125]. The overlap between canine and human IBD dysbiosis networks [125] and the canine microbiome–gene catalog homology with the human gut [10] position dogs as a particularly valuable natural-disease model.</w:t>
      </w:r>
    </w:p>
    <w:p>
      <w:pPr>
        <w:numPr>
          <w:ilvl w:val="0"/>
          <w:numId w:val="1002"/>
        </w:numPr>
      </w:pPr>
      <w:r>
        <w:rPr>
          <w:bCs/>
          <w:b/>
        </w:rPr>
        <w:t xml:space="preserve">AMR surveillance.</w:t>
      </w:r>
      <w:r>
        <w:t xml:space="preserve"> </w:t>
      </w:r>
      <w:r>
        <w:t xml:space="preserve">The animal resistome—particularly in food-animal production—represents a global reservoir of AMR genes, mobile genetic elements, and resistant phenotypes that influence human AMR burden through food chains, environmental discharge, direct contact, and wildlife interfaces [5,6,96,98,108]. Systematic, metagenomics-based AMR monitoring in livestock, companion animals, and aquaculture environments is a core contribution of veterinary science to global AMR surveillance [6,34,96,98].</w:t>
      </w:r>
    </w:p>
    <w:p>
      <w:pPr>
        <w:numPr>
          <w:ilvl w:val="0"/>
          <w:numId w:val="1002"/>
        </w:numPr>
      </w:pPr>
      <w:r>
        <w:rPr>
          <w:bCs/>
          <w:b/>
        </w:rPr>
        <w:t xml:space="preserve">Microbiome–diet–production interactions.</w:t>
      </w:r>
      <w:r>
        <w:t xml:space="preserve"> </w:t>
      </w:r>
      <w:r>
        <w:t xml:space="preserve">The deeply characterised relationships between diet, rumen microbiota, SCFA output, feed efficiency, and methane in ruminants [23–27,54–59,117,118] have produced mechanistic insights into diet–microbiome–host metabolism interactions that inform human dietary microbiome research [77,78].</w:t>
      </w:r>
    </w:p>
    <w:p>
      <w:pPr>
        <w:numPr>
          <w:ilvl w:val="0"/>
          <w:numId w:val="1002"/>
        </w:numPr>
      </w:pPr>
      <w:r>
        <w:rPr>
          <w:bCs/>
          <w:b/>
        </w:rPr>
        <w:t xml:space="preserve">Intervention-scale experiments.</w:t>
      </w:r>
      <w:r>
        <w:t xml:space="preserve"> </w:t>
      </w:r>
      <w:r>
        <w:t xml:space="preserve">Large-animal herd and flock studies allow intervention scale, replicate numbers, and environmental control that are rarely achievable in human trials. Poultry studies of prebiotics, probiotics, and engineered biotherapeutics [28–31,60–63] are among the best-controlled microbiome intervention experiments in any species.</w:t>
      </w:r>
    </w:p>
    <w:p>
      <w:pPr>
        <w:pStyle w:val="FirstParagraph"/>
      </w:pPr>
      <w:r>
        <w:rPr>
          <w:bCs/>
          <w:b/>
        </w:rPr>
        <w:t xml:space="preserve">Table 4. Human microbiome interventions and veterinary translation: what can be borrowed and what cannot be assumed.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Human microbiome intervention/evidence</w:t>
            </w:r>
          </w:p>
        </w:tc>
        <w:tc>
          <w:tcPr/>
          <w:p>
            <w:pPr>
              <w:pStyle w:val="Compact"/>
              <w:jc w:val="left"/>
            </w:pPr>
            <w:r>
              <w:t xml:space="preserve">Veterinary relevance</w:t>
            </w:r>
          </w:p>
        </w:tc>
        <w:tc>
          <w:tcPr/>
          <w:p>
            <w:pPr>
              <w:pStyle w:val="Compact"/>
              <w:jc w:val="left"/>
            </w:pPr>
            <w:r>
              <w:t xml:space="preserve">What can be borrowed</w:t>
            </w:r>
          </w:p>
        </w:tc>
        <w:tc>
          <w:tcPr/>
          <w:p>
            <w:pPr>
              <w:pStyle w:val="Compact"/>
              <w:jc w:val="left"/>
            </w:pPr>
            <w:r>
              <w:t xml:space="preserve">What cannot be assumed</w:t>
            </w:r>
          </w:p>
        </w:tc>
      </w:tr>
      <w:tr>
        <w:tc>
          <w:tcPr/>
          <w:p>
            <w:pPr>
              <w:pStyle w:val="Compact"/>
              <w:jc w:val="left"/>
            </w:pPr>
            <w:r>
              <w:t xml:space="preserve">FMT for recurrent CDI (RCTs, level 1) [67,70,72]</w:t>
            </w:r>
          </w:p>
        </w:tc>
        <w:tc>
          <w:tcPr/>
          <w:p>
            <w:pPr>
              <w:pStyle w:val="Compact"/>
              <w:jc w:val="left"/>
            </w:pPr>
            <w:r>
              <w:t xml:space="preserve">Canine chronic enteropathy, equine AAD, post-antibiotic dysbiosis</w:t>
            </w:r>
          </w:p>
        </w:tc>
        <w:tc>
          <w:tcPr/>
          <w:p>
            <w:pPr>
              <w:pStyle w:val="Compact"/>
              <w:jc w:val="left"/>
            </w:pPr>
            <w:r>
              <w:t xml:space="preserve">Donor screening protocol, safety monitoring, clinical endpoint design, engraftment tracking</w:t>
            </w:r>
          </w:p>
        </w:tc>
        <w:tc>
          <w:tcPr/>
          <w:p>
            <w:pPr>
              <w:pStyle w:val="Compact"/>
              <w:jc w:val="left"/>
            </w:pPr>
            <w:r>
              <w:t xml:space="preserve">Efficacy across species; same donor–recipient compatibility rules</w:t>
            </w:r>
          </w:p>
        </w:tc>
      </w:tr>
      <w:tr>
        <w:tc>
          <w:tcPr/>
          <w:p>
            <w:pPr>
              <w:pStyle w:val="Compact"/>
              <w:jc w:val="left"/>
            </w:pPr>
            <w:r>
              <w:t xml:space="preserve">SER-109/VOWST oral spores (RCT, FDA-approved) [36]</w:t>
            </w:r>
          </w:p>
        </w:tc>
        <w:tc>
          <w:tcPr/>
          <w:p>
            <w:pPr>
              <w:pStyle w:val="Compact"/>
              <w:jc w:val="left"/>
            </w:pPr>
            <w:r>
              <w:t xml:space="preserve">Future oral microbiome products in dogs, horses</w:t>
            </w:r>
          </w:p>
        </w:tc>
        <w:tc>
          <w:tcPr/>
          <w:p>
            <w:pPr>
              <w:pStyle w:val="Compact"/>
              <w:jc w:val="left"/>
            </w:pPr>
            <w:r>
              <w:t xml:space="preserve">Standardised manufacturing approach, RCT design, spore-based delivery concept</w:t>
            </w:r>
          </w:p>
        </w:tc>
        <w:tc>
          <w:tcPr/>
          <w:p>
            <w:pPr>
              <w:pStyle w:val="Compact"/>
              <w:jc w:val="left"/>
            </w:pPr>
            <w:r>
              <w:t xml:space="preserve">Same strains will colonise or function in animal intestines</w:t>
            </w:r>
          </w:p>
        </w:tc>
      </w:tr>
      <w:tr>
        <w:tc>
          <w:tcPr/>
          <w:p>
            <w:pPr>
              <w:pStyle w:val="Compact"/>
              <w:jc w:val="left"/>
            </w:pPr>
            <w:r>
              <w:t xml:space="preserve">REBYOTA fecal microbiota product (FDA-approved) [84]</w:t>
            </w:r>
          </w:p>
        </w:tc>
        <w:tc>
          <w:tcPr/>
          <w:p>
            <w:pPr>
              <w:pStyle w:val="Compact"/>
              <w:jc w:val="left"/>
            </w:pPr>
            <w:r>
              <w:t xml:space="preserve">Model for regulated veterinary FMT product development</w:t>
            </w:r>
          </w:p>
        </w:tc>
        <w:tc>
          <w:tcPr/>
          <w:p>
            <w:pPr>
              <w:pStyle w:val="Compact"/>
              <w:jc w:val="left"/>
            </w:pPr>
            <w:r>
              <w:t xml:space="preserve">Biologic product pathway; quality, safety, and efficacy package</w:t>
            </w:r>
          </w:p>
        </w:tc>
        <w:tc>
          <w:tcPr/>
          <w:p>
            <w:pPr>
              <w:pStyle w:val="Compact"/>
              <w:jc w:val="left"/>
            </w:pPr>
            <w:r>
              <w:t xml:space="preserve">Interchangeability of human donor stool products across species</w:t>
            </w:r>
          </w:p>
        </w:tc>
      </w:tr>
      <w:tr>
        <w:tc>
          <w:tcPr/>
          <w:p>
            <w:pPr>
              <w:pStyle w:val="Compact"/>
              <w:jc w:val="left"/>
            </w:pPr>
            <w:r>
              <w:t xml:space="preserve">VE303 defined consortium (RCT, JAMA) [37]</w:t>
            </w:r>
          </w:p>
        </w:tc>
        <w:tc>
          <w:tcPr/>
          <w:p>
            <w:pPr>
              <w:pStyle w:val="Compact"/>
              <w:jc w:val="left"/>
            </w:pPr>
            <w:r>
              <w:t xml:space="preserve">Precision microbial consortia for veterinary indications</w:t>
            </w:r>
          </w:p>
        </w:tc>
        <w:tc>
          <w:tcPr/>
          <w:p>
            <w:pPr>
              <w:pStyle w:val="Compact"/>
              <w:jc w:val="left"/>
            </w:pPr>
            <w:r>
              <w:t xml:space="preserve">Defined-composition approach; trial design; strain safety documentation</w:t>
            </w:r>
          </w:p>
        </w:tc>
        <w:tc>
          <w:tcPr/>
          <w:p>
            <w:pPr>
              <w:pStyle w:val="Compact"/>
              <w:jc w:val="left"/>
            </w:pPr>
            <w:r>
              <w:t xml:space="preserve">Colonisation efficiency and indication transferability in animals</w:t>
            </w:r>
          </w:p>
        </w:tc>
      </w:tr>
      <w:tr>
        <w:tc>
          <w:tcPr/>
          <w:p>
            <w:pPr>
              <w:pStyle w:val="Compact"/>
              <w:jc w:val="left"/>
            </w:pPr>
            <w:r>
              <w:t xml:space="preserve">International microbiome testing consensus (Lancet GH) [35]</w:t>
            </w:r>
          </w:p>
        </w:tc>
        <w:tc>
          <w:tcPr/>
          <w:p>
            <w:pPr>
              <w:pStyle w:val="Compact"/>
              <w:jc w:val="left"/>
            </w:pPr>
            <w:r>
              <w:t xml:space="preserve">Veterinary test regulation and validation</w:t>
            </w:r>
          </w:p>
        </w:tc>
        <w:tc>
          <w:tcPr/>
          <w:p>
            <w:pPr>
              <w:pStyle w:val="Compact"/>
              <w:jc w:val="left"/>
            </w:pPr>
            <w:r>
              <w:t xml:space="preserve">Analytical/clinical validity/utility framework; indication-specific testing</w:t>
            </w:r>
          </w:p>
        </w:tc>
        <w:tc>
          <w:tcPr/>
          <w:p>
            <w:pPr>
              <w:pStyle w:val="Compact"/>
              <w:jc w:val="left"/>
            </w:pPr>
            <w:r>
              <w:t xml:space="preserve">Direct-to-consumer taxon scores without species-specific validation</w:t>
            </w:r>
          </w:p>
        </w:tc>
      </w:tr>
      <w:tr>
        <w:tc>
          <w:tcPr/>
          <w:p>
            <w:pPr>
              <w:pStyle w:val="Compact"/>
              <w:jc w:val="left"/>
            </w:pPr>
            <w:r>
              <w:t xml:space="preserve">Diet–microbiome mechanistic studies (Nature, Cell) [77,78]</w:t>
            </w:r>
          </w:p>
        </w:tc>
        <w:tc>
          <w:tcPr/>
          <w:p>
            <w:pPr>
              <w:pStyle w:val="Compact"/>
              <w:jc w:val="left"/>
            </w:pPr>
            <w:r>
              <w:t xml:space="preserve">Diet trial design, species-specific dietary modulation</w:t>
            </w:r>
          </w:p>
        </w:tc>
        <w:tc>
          <w:tcPr/>
          <w:p>
            <w:pPr>
              <w:pStyle w:val="Compact"/>
              <w:jc w:val="left"/>
            </w:pPr>
            <w:r>
              <w:t xml:space="preserve">Study design, metabolite endpoints, diet-composition co-variate approach</w:t>
            </w:r>
          </w:p>
        </w:tc>
        <w:tc>
          <w:tcPr/>
          <w:p>
            <w:pPr>
              <w:pStyle w:val="Compact"/>
              <w:jc w:val="left"/>
            </w:pPr>
            <w:r>
              <w:t xml:space="preserve">Cross-species dietary effects; human dietary recommendations for animals</w:t>
            </w:r>
          </w:p>
        </w:tc>
      </w:tr>
    </w:tbl>
    <w:p>
      <w:r>
        <w:pict>
          <v:rect style="width:0;height:1.5pt" o:hralign="center" o:hrstd="t" o:hr="t"/>
        </w:pict>
      </w:r>
    </w:p>
    <w:bookmarkEnd w:id="65"/>
    <w:bookmarkEnd w:id="66"/>
    <w:bookmarkStart w:id="85" w:name="X1c2d2510c3fb74ffb115fa36c1f214ac6d20380"/>
    <w:p>
      <w:pPr>
        <w:pStyle w:val="Heading2"/>
      </w:pPr>
      <w:r>
        <w:t xml:space="preserve">6. Zoonotic Microbes, Pathobionts, and the Animal Resistome</w:t>
      </w:r>
    </w:p>
    <w:bookmarkStart w:id="69" w:name="X3a4caaa115f7781d885a76361dfd09581a8002b"/>
    <w:p>
      <w:pPr>
        <w:pStyle w:val="Heading3"/>
      </w:pPr>
      <w:r>
        <w:t xml:space="preserve">6.1 Helicobacter pylori and non-H. pylori Helicobacter spp.</w:t>
      </w:r>
    </w:p>
    <w:bookmarkStart w:id="67" w:name="Xefd8e0768c1377ae2bcba17df8cc5d63a832a6c"/>
    <w:p>
      <w:pPr>
        <w:pStyle w:val="Heading4"/>
      </w:pPr>
      <w:r>
        <w:t xml:space="preserve">6.1.1 Helicobacter diversity in companion animals</w:t>
      </w:r>
    </w:p>
    <w:p>
      <w:pPr>
        <w:pStyle w:val="FirstParagraph"/>
      </w:pPr>
      <w:r>
        <w:t xml:space="preserve">The genus</w:t>
      </w:r>
      <w:r>
        <w:t xml:space="preserve"> </w:t>
      </w:r>
      <w:r>
        <w:rPr>
          <w:iCs/>
          <w:i/>
        </w:rPr>
        <w:t xml:space="preserve">Helicobacter</w:t>
      </w:r>
      <w:r>
        <w:t xml:space="preserve"> </w:t>
      </w:r>
      <w:r>
        <w:t xml:space="preserve">encompasses more than 40 validly named species, many discovered in the stomachs and intestinal tracts of domestic and wild animals [85,86]. In companion animals, the organisms most frequently isolated from the gastric mucosa are not</w:t>
      </w:r>
      <w:r>
        <w:t xml:space="preserve"> </w:t>
      </w:r>
      <w:r>
        <w:rPr>
          <w:iCs/>
          <w:i/>
        </w:rPr>
        <w:t xml:space="preserve">H. pylori</w:t>
      </w:r>
      <w:r>
        <w:t xml:space="preserve"> </w:t>
      </w:r>
      <w:r>
        <w:t xml:space="preserve">but a distinct group of non-</w:t>
      </w:r>
      <w:r>
        <w:rPr>
          <w:iCs/>
          <w:i/>
        </w:rPr>
        <w:t xml:space="preserve">H. pylori Helicobacter</w:t>
      </w:r>
      <w:r>
        <w:t xml:space="preserve"> </w:t>
      </w:r>
      <w:r>
        <w:t xml:space="preserve">(NHPH) species, including</w:t>
      </w:r>
      <w:r>
        <w:t xml:space="preserve"> </w:t>
      </w:r>
      <w:r>
        <w:rPr>
          <w:iCs/>
          <w:i/>
        </w:rPr>
        <w:t xml:space="preserve">H. felis</w:t>
      </w:r>
      <w:r>
        <w:t xml:space="preserve">,</w:t>
      </w:r>
      <w:r>
        <w:t xml:space="preserve"> </w:t>
      </w:r>
      <w:r>
        <w:rPr>
          <w:iCs/>
          <w:i/>
        </w:rPr>
        <w:t xml:space="preserve">H. bizzozeronii</w:t>
      </w:r>
      <w:r>
        <w:t xml:space="preserve">,</w:t>
      </w:r>
      <w:r>
        <w:t xml:space="preserve"> </w:t>
      </w:r>
      <w:r>
        <w:rPr>
          <w:iCs/>
          <w:i/>
        </w:rPr>
        <w:t xml:space="preserve">H. salomonis</w:t>
      </w:r>
      <w:r>
        <w:t xml:space="preserve">,</w:t>
      </w:r>
      <w:r>
        <w:t xml:space="preserve"> </w:t>
      </w:r>
      <w:r>
        <w:rPr>
          <w:iCs/>
          <w:i/>
        </w:rPr>
        <w:t xml:space="preserve">H. heilmannii sensu stricto</w:t>
      </w:r>
      <w:r>
        <w:t xml:space="preserve">, and</w:t>
      </w:r>
      <w:r>
        <w:t xml:space="preserve"> </w:t>
      </w:r>
      <w:r>
        <w:rPr>
          <w:iCs/>
          <w:i/>
        </w:rPr>
        <w:t xml:space="preserve">H. cynogastricus</w:t>
      </w:r>
      <w:r>
        <w:t xml:space="preserve"> </w:t>
      </w:r>
      <w:r>
        <w:t xml:space="preserve">in dogs, and</w:t>
      </w:r>
      <w:r>
        <w:t xml:space="preserve"> </w:t>
      </w:r>
      <w:r>
        <w:rPr>
          <w:iCs/>
          <w:i/>
        </w:rPr>
        <w:t xml:space="preserve">H. felis</w:t>
      </w:r>
      <w:r>
        <w:t xml:space="preserve">,</w:t>
      </w:r>
      <w:r>
        <w:t xml:space="preserve"> </w:t>
      </w:r>
      <w:r>
        <w:rPr>
          <w:iCs/>
          <w:i/>
        </w:rPr>
        <w:t xml:space="preserve">H. pylori</w:t>
      </w:r>
      <w:r>
        <w:t xml:space="preserve">-like organisms, and</w:t>
      </w:r>
      <w:r>
        <w:t xml:space="preserve"> </w:t>
      </w:r>
      <w:r>
        <w:rPr>
          <w:iCs/>
          <w:i/>
        </w:rPr>
        <w:t xml:space="preserve">H. heilmannii</w:t>
      </w:r>
      <w:r>
        <w:t xml:space="preserve"> </w:t>
      </w:r>
      <w:r>
        <w:t xml:space="preserve">in cats [85]. These organisms are often found at high prevalence in gastric biopsies from both healthy and clinically affected companion animals and are associated with lymphocytic-plasmacytic gastritis, although their causal role in clinical disease remains incompletely defined.</w:t>
      </w:r>
    </w:p>
    <w:p>
      <w:pPr>
        <w:pStyle w:val="BodyText"/>
      </w:pPr>
      <w:r>
        <w:t xml:space="preserve">A comprehensive review in Clinical Microbiology Reviews documented that gastric helicobacters in domestic animals may infect humans through close contact and that several NHPH species—particularly</w:t>
      </w:r>
      <w:r>
        <w:t xml:space="preserve"> </w:t>
      </w:r>
      <w:r>
        <w:rPr>
          <w:iCs/>
          <w:i/>
        </w:rPr>
        <w:t xml:space="preserve">H. heilmannii sensu stricto</w:t>
      </w:r>
      <w:r>
        <w:t xml:space="preserve"> </w:t>
      </w:r>
      <w:r>
        <w:t xml:space="preserve">and</w:t>
      </w:r>
      <w:r>
        <w:t xml:space="preserve"> </w:t>
      </w:r>
      <w:r>
        <w:rPr>
          <w:iCs/>
          <w:i/>
        </w:rPr>
        <w:t xml:space="preserve">H. bizzozeronii</w:t>
      </w:r>
      <w:r>
        <w:t xml:space="preserve">—have been identified in human gastric biopsies, associated with lymphocytic gastritis, mucosa-associated lymphoid tissue (MALT) lymphoma, and dyspepsia [85]. The global phylogeography of</w:t>
      </w:r>
      <w:r>
        <w:t xml:space="preserve"> </w:t>
      </w:r>
      <w:r>
        <w:rPr>
          <w:iCs/>
          <w:i/>
        </w:rPr>
        <w:t xml:space="preserve">Helicobacter</w:t>
      </w:r>
      <w:r>
        <w:t xml:space="preserve"> </w:t>
      </w:r>
      <w:r>
        <w:t xml:space="preserve">species and their host-jumping potential were reviewed by Solnick and Schauer, who emphasised that host specificity is not absolute and that the diversity of</w:t>
      </w:r>
      <w:r>
        <w:t xml:space="preserve"> </w:t>
      </w:r>
      <w:r>
        <w:rPr>
          <w:iCs/>
          <w:i/>
        </w:rPr>
        <w:t xml:space="preserve">Helicobacter</w:t>
      </w:r>
      <w:r>
        <w:t xml:space="preserve"> </w:t>
      </w:r>
      <w:r>
        <w:t xml:space="preserve">in animal populations substantially expands the potential pool of human-relevant gastric pathogens [86].</w:t>
      </w:r>
    </w:p>
    <w:bookmarkEnd w:id="67"/>
    <w:bookmarkStart w:id="68" w:name="X7446cb8646fe04a4d6298e9b89ae56cc7f06c2e"/>
    <w:p>
      <w:pPr>
        <w:pStyle w:val="Heading4"/>
      </w:pPr>
      <w:r>
        <w:t xml:space="preserve">6.1.2 Cautious interpretation of transmission evidence</w:t>
      </w:r>
    </w:p>
    <w:p>
      <w:pPr>
        <w:pStyle w:val="FirstParagraph"/>
      </w:pPr>
      <w:r>
        <w:t xml:space="preserve">Despite these associations, key uncertainties limit the clinical and public-health conclusions that can be drawn. True</w:t>
      </w:r>
      <w:r>
        <w:t xml:space="preserve"> </w:t>
      </w:r>
      <w:r>
        <w:rPr>
          <w:iCs/>
          <w:i/>
        </w:rPr>
        <w:t xml:space="preserve">H. pylori</w:t>
      </w:r>
      <w:r>
        <w:t xml:space="preserve"> </w:t>
      </w:r>
      <w:r>
        <w:t xml:space="preserve">infection in dogs and cats is rare and of uncertain zoonotic significance: most isolates from companion animals that superficially resemble</w:t>
      </w:r>
      <w:r>
        <w:t xml:space="preserve"> </w:t>
      </w:r>
      <w:r>
        <w:rPr>
          <w:iCs/>
          <w:i/>
        </w:rPr>
        <w:t xml:space="preserve">H. pylori</w:t>
      </w:r>
      <w:r>
        <w:t xml:space="preserve"> </w:t>
      </w:r>
      <w:r>
        <w:t xml:space="preserve">prove on culture and whole-genome sequencing to be NHPH species [85,86]. The directionality of transmission—whether companion animals acquire NHPH from humans, transmit NHPH to humans, or whether both acquire shared strains from environmental sources—has not been resolved for most NHPH species, because strain-resolved genomic comparisons between matched human–animal pairs from the same households are scarce [85]. The clinical impact of NHPH infection in humans is generally less severe than</w:t>
      </w:r>
      <w:r>
        <w:t xml:space="preserve"> </w:t>
      </w:r>
      <w:r>
        <w:rPr>
          <w:iCs/>
          <w:i/>
        </w:rPr>
        <w:t xml:space="preserve">H. pylori</w:t>
      </w:r>
      <w:r>
        <w:t xml:space="preserve">-associated disease, and spontaneous clearance may occur [85].</w:t>
      </w:r>
    </w:p>
    <w:p>
      <w:pPr>
        <w:pStyle w:val="BodyText"/>
      </w:pPr>
      <w:r>
        <w:rPr>
          <w:bCs/>
          <w:b/>
        </w:rPr>
        <w:t xml:space="preserve">Veterinary implications:</w:t>
      </w:r>
      <w:r>
        <w:t xml:space="preserve"> </w:t>
      </w:r>
      <w:r>
        <w:t xml:space="preserve">gastric</w:t>
      </w:r>
      <w:r>
        <w:t xml:space="preserve"> </w:t>
      </w:r>
      <w:r>
        <w:rPr>
          <w:iCs/>
          <w:i/>
        </w:rPr>
        <w:t xml:space="preserve">Helicobacter</w:t>
      </w:r>
      <w:r>
        <w:t xml:space="preserve"> </w:t>
      </w:r>
      <w:r>
        <w:t xml:space="preserve">infections should be reported as NHPH rather than as</w:t>
      </w:r>
      <w:r>
        <w:t xml:space="preserve"> </w:t>
      </w:r>
      <w:r>
        <w:rPr>
          <w:iCs/>
          <w:i/>
        </w:rPr>
        <w:t xml:space="preserve">H. pylori</w:t>
      </w:r>
      <w:r>
        <w:t xml:space="preserve"> </w:t>
      </w:r>
      <w:r>
        <w:t xml:space="preserve">unless culture and WGS confirm the latter. Treatment decisions should be based on clinical signs and gastric pathology rather than the mere presence of</w:t>
      </w:r>
      <w:r>
        <w:t xml:space="preserve"> </w:t>
      </w:r>
      <w:r>
        <w:rPr>
          <w:iCs/>
          <w:i/>
        </w:rPr>
        <w:t xml:space="preserve">Helicobacter</w:t>
      </w:r>
      <w:r>
        <w:t xml:space="preserve"> </w:t>
      </w:r>
      <w:r>
        <w:t xml:space="preserve">on biopsy. Pet-owning humans with gastric symptoms associated with NHPH on biopsy should be evaluated for NHPH rather than assumed to have</w:t>
      </w:r>
      <w:r>
        <w:t xml:space="preserve"> </w:t>
      </w:r>
      <w:r>
        <w:rPr>
          <w:iCs/>
          <w:i/>
        </w:rPr>
        <w:t xml:space="preserve">H. pylori</w:t>
      </w:r>
      <w:r>
        <w:t xml:space="preserve">. Future One Health studies should use strain-resolved genomics and structured household exposure data to clarify transmission dynamics.</w:t>
      </w:r>
    </w:p>
    <w:p>
      <w:r>
        <w:pict>
          <v:rect style="width:0;height:1.5pt" o:hralign="center" o:hrstd="t" o:hr="t"/>
        </w:pict>
      </w:r>
    </w:p>
    <w:bookmarkEnd w:id="68"/>
    <w:bookmarkEnd w:id="69"/>
    <w:bookmarkStart w:id="72" w:name="X72880e8ef5492cc21fceca4a6528cbb9c932c68"/>
    <w:p>
      <w:pPr>
        <w:pStyle w:val="Heading3"/>
      </w:pPr>
      <w:r>
        <w:t xml:space="preserve">6.2 Clostridioides difficile: from hospital pathogen to One Health concern</w:t>
      </w:r>
    </w:p>
    <w:bookmarkStart w:id="70" w:name="X3368a791d3d341979b7ef892399b62f25e75cc9"/>
    <w:p>
      <w:pPr>
        <w:pStyle w:val="Heading4"/>
      </w:pPr>
      <w:r>
        <w:t xml:space="preserve">6.2.1 The animal reservoir and environmental context</w:t>
      </w:r>
    </w:p>
    <w:p>
      <w:pPr>
        <w:pStyle w:val="FirstParagraph"/>
      </w:pPr>
      <w:r>
        <w:rPr>
          <w:iCs/>
          <w:i/>
        </w:rPr>
        <w:t xml:space="preserve">Clostridioides difficile</w:t>
      </w:r>
      <w:r>
        <w:t xml:space="preserve"> </w:t>
      </w:r>
      <w:r>
        <w:t xml:space="preserve">(formerly</w:t>
      </w:r>
      <w:r>
        <w:t xml:space="preserve"> </w:t>
      </w:r>
      <w:r>
        <w:rPr>
          <w:iCs/>
          <w:i/>
        </w:rPr>
        <w:t xml:space="preserve">Clostridium difficile</w:t>
      </w:r>
      <w:r>
        <w:t xml:space="preserve">) was historically considered a hospital-associated pathogen in elderly or immunocompromised patients following antimicrobial exposure. It is now recognised as a component of the normal intestinal flora in many healthy animals, an environmentally persistent spore-forming organism, and a cause of diarrhea across multiple animal species [87,88,89,90,91]. Horses, pigs, cattle, dogs, and cats can all carry toxigenic</w:t>
      </w:r>
      <w:r>
        <w:t xml:space="preserve"> </w:t>
      </w:r>
      <w:r>
        <w:rPr>
          <w:iCs/>
          <w:i/>
        </w:rPr>
        <w:t xml:space="preserve">C. difficile</w:t>
      </w:r>
      <w:r>
        <w:t xml:space="preserve"> </w:t>
      </w:r>
      <w:r>
        <w:t xml:space="preserve">strains, often the same ribotypes (RT) found in human infections [87,90].</w:t>
      </w:r>
    </w:p>
    <w:p>
      <w:pPr>
        <w:pStyle w:val="BodyText"/>
      </w:pPr>
      <w:r>
        <w:t xml:space="preserve">The most significant One Health observation is the emergence of RT027 (NAP1/B1) as a hypervirulent human CDI strain and the parallel emergence of RT078 as a major strain in food animals—particularly pigs and calves—that also causes community-acquired CDI in humans, including younger adults without classic hospital exposure risk factors [87,127]. Whole-genome sequencing comparisons have identified closely related RT078 isolates in human patients, food animals, and environmental samples from the same geographic regions, supporting at least partial zoonotic or foodborne transmission [90].</w:t>
      </w:r>
    </w:p>
    <w:bookmarkEnd w:id="70"/>
    <w:bookmarkStart w:id="71" w:name="veterinary-cdi"/>
    <w:p>
      <w:pPr>
        <w:pStyle w:val="Heading4"/>
      </w:pPr>
      <w:r>
        <w:t xml:space="preserve">6.2.2 Veterinary CDI</w:t>
      </w:r>
    </w:p>
    <w:p>
      <w:pPr>
        <w:pStyle w:val="FirstParagraph"/>
      </w:pPr>
      <w:r>
        <w:t xml:space="preserve">In horses,</w:t>
      </w:r>
      <w:r>
        <w:t xml:space="preserve"> </w:t>
      </w:r>
      <w:r>
        <w:rPr>
          <w:iCs/>
          <w:i/>
        </w:rPr>
        <w:t xml:space="preserve">C. difficile</w:t>
      </w:r>
      <w:r>
        <w:t xml:space="preserve"> </w:t>
      </w:r>
      <w:r>
        <w:t xml:space="preserve">is a recognised cause of acute and peracute colitis, often precipitated by antimicrobial treatment, particularly erythromycin/rifampicin combinations for</w:t>
      </w:r>
      <w:r>
        <w:t xml:space="preserve"> </w:t>
      </w:r>
      <w:r>
        <w:rPr>
          <w:iCs/>
          <w:i/>
        </w:rPr>
        <w:t xml:space="preserve">Rhodococcus equi</w:t>
      </w:r>
      <w:r>
        <w:t xml:space="preserve"> </w:t>
      </w:r>
      <w:r>
        <w:t xml:space="preserve">pneumonia in foals [88,91]. The prospective study by Weese et al. established a microbiological basis for equine CDI and identified toxin A and B positivity as markers of disease severity [88]. In neonatal calves,</w:t>
      </w:r>
      <w:r>
        <w:t xml:space="preserve"> </w:t>
      </w:r>
      <w:r>
        <w:rPr>
          <w:iCs/>
          <w:i/>
        </w:rPr>
        <w:t xml:space="preserve">C. difficile</w:t>
      </w:r>
      <w:r>
        <w:t xml:space="preserve"> </w:t>
      </w:r>
      <w:r>
        <w:t xml:space="preserve">has been proposed as an underdiagnosed contributor to calf diarrhea, especially in systems with high antimicrobial use [89]. A comprehensive review of</w:t>
      </w:r>
      <w:r>
        <w:t xml:space="preserve"> </w:t>
      </w:r>
      <w:r>
        <w:rPr>
          <w:iCs/>
          <w:i/>
        </w:rPr>
        <w:t xml:space="preserve">C. difficile</w:t>
      </w:r>
      <w:r>
        <w:t xml:space="preserve"> </w:t>
      </w:r>
      <w:r>
        <w:t xml:space="preserve">in food and animals concluded that antimicrobial stewardship is the most tractable intervention and that WGS-based One Health surveillance should become standard in regions with CDI case burden [90].</w:t>
      </w:r>
    </w:p>
    <w:p>
      <w:pPr>
        <w:pStyle w:val="BodyText"/>
      </w:pPr>
      <w:r>
        <w:rPr>
          <w:bCs/>
          <w:b/>
        </w:rPr>
        <w:t xml:space="preserve">Veterinary implications:</w:t>
      </w:r>
      <w:r>
        <w:t xml:space="preserve"> </w:t>
      </w:r>
      <w:r>
        <w:rPr>
          <w:iCs/>
          <w:i/>
        </w:rPr>
        <w:t xml:space="preserve">C. difficile</w:t>
      </w:r>
      <w:r>
        <w:t xml:space="preserve"> </w:t>
      </w:r>
      <w:r>
        <w:t xml:space="preserve">in horses and cattle should be interpreted in the context of antimicrobial exposure, microbiome disruption, and potential for environmental and food-chain transmission to humans. Ribotyping and WGS should be included in diagnostic workups to enable One Health linkage. Antimicrobial stewardship that avoids unnecessary broad-spectrum antimicrobial use is the primary preventive strategy in both companion and production animals.</w:t>
      </w:r>
    </w:p>
    <w:p>
      <w:r>
        <w:pict>
          <v:rect style="width:0;height:1.5pt" o:hralign="center" o:hrstd="t" o:hr="t"/>
        </w:pict>
      </w:r>
    </w:p>
    <w:bookmarkEnd w:id="71"/>
    <w:bookmarkEnd w:id="72"/>
    <w:bookmarkStart w:id="75" w:name="Xb1ec5f65ec9c1bd184781707212ef953ceb01a9"/>
    <w:p>
      <w:pPr>
        <w:pStyle w:val="Heading3"/>
      </w:pPr>
      <w:r>
        <w:t xml:space="preserve">6.3 Escherichia coli: commensal, pathogen, and resistance reservoir</w:t>
      </w:r>
    </w:p>
    <w:bookmarkStart w:id="73" w:name="the-multifaceted-roles-of-e.-coli"/>
    <w:p>
      <w:pPr>
        <w:pStyle w:val="Heading4"/>
      </w:pPr>
      <w:r>
        <w:t xml:space="preserve">6.3.1 The multifaceted roles of E. coli</w:t>
      </w:r>
    </w:p>
    <w:p>
      <w:pPr>
        <w:pStyle w:val="FirstParagraph"/>
      </w:pPr>
      <w:r>
        <w:rPr>
          <w:iCs/>
          <w:i/>
        </w:rPr>
        <w:t xml:space="preserve">Escherichia coli</w:t>
      </w:r>
      <w:r>
        <w:t xml:space="preserve"> </w:t>
      </w:r>
      <w:r>
        <w:t xml:space="preserve">is simultaneously a core member of the mammalian gut microbiome, an important enteric and extraintestinal pathogen, and one of the most clinically significant AMR carriers in both veterinary and human medicine [92,93,94,128,129]. For veterinary microbiome medicine,</w:t>
      </w:r>
      <w:r>
        <w:t xml:space="preserve"> </w:t>
      </w:r>
      <w:r>
        <w:rPr>
          <w:iCs/>
          <w:i/>
        </w:rPr>
        <w:t xml:space="preserve">E. coli</w:t>
      </w:r>
      <w:r>
        <w:t xml:space="preserve"> </w:t>
      </w:r>
      <w:r>
        <w:t xml:space="preserve">is best understood as at least four distinct entities:</w:t>
      </w:r>
    </w:p>
    <w:p>
      <w:pPr>
        <w:pStyle w:val="BodyText"/>
      </w:pPr>
      <w:r>
        <w:rPr>
          <w:bCs/>
          <w:b/>
        </w:rPr>
        <w:t xml:space="preserve">Commensal E. coli</w:t>
      </w:r>
      <w:r>
        <w:t xml:space="preserve"> </w:t>
      </w:r>
      <w:r>
        <w:t xml:space="preserve">as an AMR gene reservoir: All</w:t>
      </w:r>
      <w:r>
        <w:t xml:space="preserve"> </w:t>
      </w:r>
      <w:r>
        <w:rPr>
          <w:iCs/>
          <w:i/>
        </w:rPr>
        <w:t xml:space="preserve">E. coli</w:t>
      </w:r>
      <w:r>
        <w:t xml:space="preserve"> </w:t>
      </w:r>
      <w:r>
        <w:t xml:space="preserve">populations—regardless of pathotype—are subject to horizontal gene transfer via conjugative plasmids, transposons, and integrons [94,95,108]. Commensal</w:t>
      </w:r>
      <w:r>
        <w:t xml:space="preserve"> </w:t>
      </w:r>
      <w:r>
        <w:rPr>
          <w:iCs/>
          <w:i/>
        </w:rPr>
        <w:t xml:space="preserve">E. coli</w:t>
      </w:r>
      <w:r>
        <w:t xml:space="preserve"> </w:t>
      </w:r>
      <w:r>
        <w:t xml:space="preserve">in healthy animals can carry CTX-M-type extended-spectrum β-lactamase (ESBL) genes, mcr-1 (colistin resistance), and carbapenemase genes without causing disease in the carrier, but these organisms can donate resistance genes to pathogens or be transmitted directly to humans [95,96,97,128].</w:t>
      </w:r>
    </w:p>
    <w:p>
      <w:pPr>
        <w:pStyle w:val="BodyText"/>
      </w:pPr>
      <w:r>
        <w:rPr>
          <w:bCs/>
          <w:b/>
        </w:rPr>
        <w:t xml:space="preserve">STEC (Shiga toxin-producing E. coli)</w:t>
      </w:r>
      <w:r>
        <w:t xml:space="preserve"> </w:t>
      </w:r>
      <w:r>
        <w:t xml:space="preserve">as food-borne pathogen:</w:t>
      </w:r>
      <w:r>
        <w:t xml:space="preserve"> </w:t>
      </w:r>
      <w:r>
        <w:rPr>
          <w:iCs/>
          <w:i/>
        </w:rPr>
        <w:t xml:space="preserve">E. coli</w:t>
      </w:r>
      <w:r>
        <w:t xml:space="preserve"> </w:t>
      </w:r>
      <w:r>
        <w:t xml:space="preserve">O157:H7 and related STEC serotypes were first described in haemorrhagic colitis in 1983 [92] and remain a major food-safety concern linked to cattle and sheep as primary reservoir hosts. The ecological relationship between STEC carriage in food-animal intestines and human infection has motivated decades of microbiome-informed approaches to competitive exclusion and pathogen reduction [60,63,92].</w:t>
      </w:r>
    </w:p>
    <w:p>
      <w:pPr>
        <w:pStyle w:val="BodyText"/>
      </w:pPr>
      <w:r>
        <w:rPr>
          <w:bCs/>
          <w:b/>
        </w:rPr>
        <w:t xml:space="preserve">ExPEC (extraintestinal pathogenic E. coli)</w:t>
      </w:r>
      <w:r>
        <w:t xml:space="preserve">: ExPEC strains, including uropathogenic</w:t>
      </w:r>
      <w:r>
        <w:t xml:space="preserve"> </w:t>
      </w:r>
      <w:r>
        <w:rPr>
          <w:iCs/>
          <w:i/>
        </w:rPr>
        <w:t xml:space="preserve">E. coli</w:t>
      </w:r>
      <w:r>
        <w:t xml:space="preserve"> </w:t>
      </w:r>
      <w:r>
        <w:t xml:space="preserve">(UPEC) and avian pathogenic</w:t>
      </w:r>
      <w:r>
        <w:t xml:space="preserve"> </w:t>
      </w:r>
      <w:r>
        <w:rPr>
          <w:iCs/>
          <w:i/>
        </w:rPr>
        <w:t xml:space="preserve">E. coli</w:t>
      </w:r>
      <w:r>
        <w:t xml:space="preserve"> </w:t>
      </w:r>
      <w:r>
        <w:t xml:space="preserve">(APEC), cause urinary tract infections, septicaemia, meningitis, and peritonitis in companion animals and poultry [93,129]. Companion animals living in the same household as human UTI patients may share UPEC sequence types, raising the possibility of bidirectional transmission; WGS comparisons of matched human and animal isolates are needed to resolve this [93,126,129].</w:t>
      </w:r>
    </w:p>
    <w:p>
      <w:pPr>
        <w:pStyle w:val="BodyText"/>
      </w:pPr>
      <w:r>
        <w:rPr>
          <w:bCs/>
          <w:b/>
        </w:rPr>
        <w:t xml:space="preserve">ESBL/CRE-producing E. coli</w:t>
      </w:r>
      <w:r>
        <w:t xml:space="preserve"> </w:t>
      </w:r>
      <w:r>
        <w:t xml:space="preserve">as AMR dissemination vehicle: CTX-M-15 ESBL-producing</w:t>
      </w:r>
      <w:r>
        <w:t xml:space="preserve"> </w:t>
      </w:r>
      <w:r>
        <w:rPr>
          <w:iCs/>
          <w:i/>
        </w:rPr>
        <w:t xml:space="preserve">E. coli</w:t>
      </w:r>
      <w:r>
        <w:t xml:space="preserve"> </w:t>
      </w:r>
      <w:r>
        <w:t xml:space="preserve">of sequence type ST131—the most globally successful human MDR pathotype—has been detected in companion animals and food animals globally and is associated with plasmid-mediated resistance that can transfer between animal and human strains [94,95,128,129]. A population-based modelling study in the Lancet Infectious Diseases estimated the fraction of community-acquired human ESBL</w:t>
      </w:r>
      <w:r>
        <w:t xml:space="preserve"> </w:t>
      </w:r>
      <w:r>
        <w:rPr>
          <w:iCs/>
          <w:i/>
        </w:rPr>
        <w:t xml:space="preserve">E. coli</w:t>
      </w:r>
      <w:r>
        <w:t xml:space="preserve"> </w:t>
      </w:r>
      <w:r>
        <w:t xml:space="preserve">carriage attributable to different sources, including animal contact, finding that companion animals and food animals contribute meaningfully to human exposure [128].</w:t>
      </w:r>
    </w:p>
    <w:p>
      <w:pPr>
        <w:pStyle w:val="BodyText"/>
      </w:pPr>
      <w:r>
        <w:rPr>
          <w:bCs/>
          <w:b/>
        </w:rPr>
        <w:t xml:space="preserve">Mcr-1 (colistin resistance):</w:t>
      </w:r>
      <w:r>
        <w:t xml:space="preserve"> </w:t>
      </w:r>
      <w:r>
        <w:t xml:space="preserve">Liu et al. reported the emergence of plasmid-mediated colistin resistance (MCR-1) in livestock, especially pigs, in China in 2016, with rapid subsequent detection on five continents [96]. This discovery highlighted that food-animal antimicrobial use (colistin was used extensively as a growth promoter in China) can select for resistance mechanisms of last-resort clinical importance in human medicine.</w:t>
      </w:r>
    </w:p>
    <w:bookmarkEnd w:id="73"/>
    <w:bookmarkStart w:id="74" w:name="one-health-e.-coli-management"/>
    <w:p>
      <w:pPr>
        <w:pStyle w:val="Heading4"/>
      </w:pPr>
      <w:r>
        <w:t xml:space="preserve">6.3.2 One Health E. coli management</w:t>
      </w:r>
    </w:p>
    <w:p>
      <w:pPr>
        <w:pStyle w:val="FirstParagraph"/>
      </w:pPr>
      <w:r>
        <w:t xml:space="preserve">Managing</w:t>
      </w:r>
      <w:r>
        <w:t xml:space="preserve"> </w:t>
      </w:r>
      <w:r>
        <w:rPr>
          <w:iCs/>
          <w:i/>
        </w:rPr>
        <w:t xml:space="preserve">E. coli</w:t>
      </w:r>
      <w:r>
        <w:t xml:space="preserve"> </w:t>
      </w:r>
      <w:r>
        <w:t xml:space="preserve">AMR requires a systems approach: restricting use of critically important antimicrobials (fluoroquinolones, third-generation cephalosporins, colistin) in food animals; monitoring resistant</w:t>
      </w:r>
      <w:r>
        <w:t xml:space="preserve"> </w:t>
      </w:r>
      <w:r>
        <w:rPr>
          <w:iCs/>
          <w:i/>
        </w:rPr>
        <w:t xml:space="preserve">E. coli</w:t>
      </w:r>
      <w:r>
        <w:t xml:space="preserve"> </w:t>
      </w:r>
      <w:r>
        <w:t xml:space="preserve">in food-animal production environments; extending surveillance to companion-animal and hospital environments; and integrating wastewater and food-chain monitoring with clinical AMR tracking [6,96,98,128]. Carbapenem-producing Enterobacterales (CPE) have been detected in companion animals in multiple countries [97], representing an escalating risk of clinical treatment failure if carbapenem use in veterinary medicine is not tightly controlled. Van Boeckel et al. quantified global trends in antimicrobial use in food animals and projected major increases in low- and middle-income countries, reinforcing the urgency of veterinary AMR stewardship [7,98].</w:t>
      </w:r>
    </w:p>
    <w:p>
      <w:r>
        <w:pict>
          <v:rect style="width:0;height:1.5pt" o:hralign="center" o:hrstd="t" o:hr="t"/>
        </w:pict>
      </w:r>
    </w:p>
    <w:bookmarkEnd w:id="74"/>
    <w:bookmarkEnd w:id="75"/>
    <w:bookmarkStart w:id="78" w:name="Xafc7237ea8be7849026d02cb497ab4e5ea9f64b"/>
    <w:p>
      <w:pPr>
        <w:pStyle w:val="Heading3"/>
      </w:pPr>
      <w:r>
        <w:t xml:space="preserve">6.4 Streptococcus canis and Streptococcus suis</w:t>
      </w:r>
    </w:p>
    <w:bookmarkStart w:id="76" w:name="streptococcus-canis"/>
    <w:p>
      <w:pPr>
        <w:pStyle w:val="Heading4"/>
      </w:pPr>
      <w:r>
        <w:t xml:space="preserve">6.4.1 Streptococcus canis</w:t>
      </w:r>
    </w:p>
    <w:p>
      <w:pPr>
        <w:pStyle w:val="FirstParagraph"/>
      </w:pPr>
      <w:r>
        <w:rPr>
          <w:iCs/>
          <w:i/>
        </w:rPr>
        <w:t xml:space="preserve">Streptococcus canis</w:t>
      </w:r>
      <w:r>
        <w:t xml:space="preserve"> </w:t>
      </w:r>
      <w:r>
        <w:t xml:space="preserve">is a Lancefield group G β-haemolytic streptococcus that is a commensal of the skin, mucous membranes, and urogenital tract of dogs and cats, but can cause opportunistic infection in both companion animals and humans [99,102]. In dogs and cats,</w:t>
      </w:r>
      <w:r>
        <w:t xml:space="preserve"> </w:t>
      </w:r>
      <w:r>
        <w:rPr>
          <w:iCs/>
          <w:i/>
        </w:rPr>
        <w:t xml:space="preserve">S. canis</w:t>
      </w:r>
      <w:r>
        <w:t xml:space="preserve"> </w:t>
      </w:r>
      <w:r>
        <w:t xml:space="preserve">is associated with skin and soft tissue infections, urinary tract infections, pneumonia, and bacteraemia, particularly in immunocompromised individuals or following surgical procedures. In humans,</w:t>
      </w:r>
      <w:r>
        <w:t xml:space="preserve"> </w:t>
      </w:r>
      <w:r>
        <w:rPr>
          <w:iCs/>
          <w:i/>
        </w:rPr>
        <w:t xml:space="preserve">S. canis</w:t>
      </w:r>
      <w:r>
        <w:t xml:space="preserve"> </w:t>
      </w:r>
      <w:r>
        <w:t xml:space="preserve">infection is uncommon but has been associated with severe bacteraemia, necrotising fasciitis, and streptococcal toxic shock-like syndrome, predominantly in elderly or immunocompromised individuals with close companion-animal contact.</w:t>
      </w:r>
    </w:p>
    <w:p>
      <w:pPr>
        <w:pStyle w:val="BodyText"/>
      </w:pPr>
      <w:r>
        <w:t xml:space="preserve">A 2023 genomic epidemiology study of</w:t>
      </w:r>
      <w:r>
        <w:t xml:space="preserve"> </w:t>
      </w:r>
      <w:r>
        <w:rPr>
          <w:iCs/>
          <w:i/>
        </w:rPr>
        <w:t xml:space="preserve">S. canis</w:t>
      </w:r>
      <w:r>
        <w:t xml:space="preserve"> </w:t>
      </w:r>
      <w:r>
        <w:t xml:space="preserve">isolates from clinical infections in humans and companion animals showed that animal and human strains share similar virulence gene content and some isolates belong to the same sequence clusters, raising the possibility of zoonotic transmission in specific settings [105]. However, the rarity of human</w:t>
      </w:r>
      <w:r>
        <w:t xml:space="preserve"> </w:t>
      </w:r>
      <w:r>
        <w:rPr>
          <w:iCs/>
          <w:i/>
        </w:rPr>
        <w:t xml:space="preserve">S. canis</w:t>
      </w:r>
      <w:r>
        <w:t xml:space="preserve"> </w:t>
      </w:r>
      <w:r>
        <w:t xml:space="preserve">infection, the challenges of confirming transmission direction without household-structured genomic studies, and the absence of large outbreak events limit the current One Health concern to a plausible but incompletely characterised risk.</w:t>
      </w:r>
    </w:p>
    <w:bookmarkEnd w:id="76"/>
    <w:bookmarkStart w:id="77" w:name="streptococcus-suis"/>
    <w:p>
      <w:pPr>
        <w:pStyle w:val="Heading4"/>
      </w:pPr>
      <w:r>
        <w:t xml:space="preserve">6.4.2 Streptococcus suis</w:t>
      </w:r>
    </w:p>
    <w:p>
      <w:pPr>
        <w:pStyle w:val="FirstParagraph"/>
      </w:pPr>
      <w:r>
        <w:rPr>
          <w:iCs/>
          <w:i/>
        </w:rPr>
        <w:t xml:space="preserve">Streptococcus suis</w:t>
      </w:r>
      <w:r>
        <w:t xml:space="preserve"> </w:t>
      </w:r>
      <w:r>
        <w:t xml:space="preserve">is a major pathogen of swine and a WHO-listed emerging zoonosis [99,100,101,102]. In pigs,</w:t>
      </w:r>
      <w:r>
        <w:t xml:space="preserve"> </w:t>
      </w:r>
      <w:r>
        <w:rPr>
          <w:iCs/>
          <w:i/>
        </w:rPr>
        <w:t xml:space="preserve">S. suis</w:t>
      </w:r>
      <w:r>
        <w:t xml:space="preserve"> </w:t>
      </w:r>
      <w:r>
        <w:t xml:space="preserve">causes meningitis, septicaemia, arthritis, and endocarditis and is a leading cause of antimicrobial use in swine production globally. In humans,</w:t>
      </w:r>
      <w:r>
        <w:t xml:space="preserve"> </w:t>
      </w:r>
      <w:r>
        <w:rPr>
          <w:iCs/>
          <w:i/>
        </w:rPr>
        <w:t xml:space="preserve">S. suis</w:t>
      </w:r>
      <w:r>
        <w:t xml:space="preserve"> </w:t>
      </w:r>
      <w:r>
        <w:t xml:space="preserve">meningitis has been reported predominantly in Southeast Asia—particularly Vietnam, Thailand, and China—among pig farmers, abattoir workers, and individuals who consume raw pork products [100,101]. A large outbreak of</w:t>
      </w:r>
      <w:r>
        <w:t xml:space="preserve"> </w:t>
      </w:r>
      <w:r>
        <w:rPr>
          <w:iCs/>
          <w:i/>
        </w:rPr>
        <w:t xml:space="preserve">S. suis</w:t>
      </w:r>
      <w:r>
        <w:t xml:space="preserve"> </w:t>
      </w:r>
      <w:r>
        <w:t xml:space="preserve">sequence type 7 in Sichuan, China, in 2005 caused 204 cases and 38 deaths and drew international attention to</w:t>
      </w:r>
      <w:r>
        <w:t xml:space="preserve"> </w:t>
      </w:r>
      <w:r>
        <w:rPr>
          <w:iCs/>
          <w:i/>
        </w:rPr>
        <w:t xml:space="preserve">S. suis</w:t>
      </w:r>
      <w:r>
        <w:t xml:space="preserve"> </w:t>
      </w:r>
      <w:r>
        <w:t xml:space="preserve">as a serious human pathogen [101].</w:t>
      </w:r>
    </w:p>
    <w:p>
      <w:pPr>
        <w:pStyle w:val="BodyText"/>
      </w:pPr>
      <w:r>
        <w:t xml:space="preserve">The One Health concern with</w:t>
      </w:r>
      <w:r>
        <w:t xml:space="preserve"> </w:t>
      </w:r>
      <w:r>
        <w:rPr>
          <w:iCs/>
          <w:i/>
        </w:rPr>
        <w:t xml:space="preserve">S. suis</w:t>
      </w:r>
      <w:r>
        <w:t xml:space="preserve"> </w:t>
      </w:r>
      <w:r>
        <w:t xml:space="preserve">is amplified by its AMR profile: many</w:t>
      </w:r>
      <w:r>
        <w:t xml:space="preserve"> </w:t>
      </w:r>
      <w:r>
        <w:rPr>
          <w:iCs/>
          <w:i/>
        </w:rPr>
        <w:t xml:space="preserve">S. suis</w:t>
      </w:r>
      <w:r>
        <w:t xml:space="preserve"> </w:t>
      </w:r>
      <w:r>
        <w:t xml:space="preserve">strains are resistant to tetracyclines, macrolides, and sometimes β-lactams [99,102]. Surveillance of</w:t>
      </w:r>
      <w:r>
        <w:t xml:space="preserve"> </w:t>
      </w:r>
      <w:r>
        <w:rPr>
          <w:iCs/>
          <w:i/>
        </w:rPr>
        <w:t xml:space="preserve">S. suis</w:t>
      </w:r>
      <w:r>
        <w:t xml:space="preserve"> </w:t>
      </w:r>
      <w:r>
        <w:t xml:space="preserve">serotype and sequence type diversity in pig populations, combined with occupational exposure monitoring in pig farmers and abattoir workers, is the basis of rational One Health management. Veterinary practitioners in swine practice are well positioned to contribute to this surveillance.</w:t>
      </w:r>
    </w:p>
    <w:p>
      <w:r>
        <w:pict>
          <v:rect style="width:0;height:1.5pt" o:hralign="center" o:hrstd="t" o:hr="t"/>
        </w:pict>
      </w:r>
    </w:p>
    <w:bookmarkEnd w:id="77"/>
    <w:bookmarkEnd w:id="78"/>
    <w:bookmarkStart w:id="81" w:name="Xe80432feaf925cb1b22fe085c2f60feb6b187fd"/>
    <w:p>
      <w:pPr>
        <w:pStyle w:val="Heading3"/>
      </w:pPr>
      <w:r>
        <w:t xml:space="preserve">6.5 Methicillin-resistant staphylococci: MRSA and MRSP in companion animals</w:t>
      </w:r>
    </w:p>
    <w:bookmarkStart w:id="79" w:name="companion-animals-as-mrsamrsp-reservoirs"/>
    <w:p>
      <w:pPr>
        <w:pStyle w:val="Heading4"/>
      </w:pPr>
      <w:r>
        <w:t xml:space="preserve">6.5.1 Companion animals as MRSA/MRSP reservoirs</w:t>
      </w:r>
    </w:p>
    <w:p>
      <w:pPr>
        <w:pStyle w:val="FirstParagraph"/>
      </w:pPr>
      <w:r>
        <w:t xml:space="preserve">Methicillin-resistant</w:t>
      </w:r>
      <w:r>
        <w:t xml:space="preserve"> </w:t>
      </w:r>
      <w:r>
        <w:rPr>
          <w:iCs/>
          <w:i/>
        </w:rPr>
        <w:t xml:space="preserve">Staphylococcus aureus</w:t>
      </w:r>
      <w:r>
        <w:t xml:space="preserve"> </w:t>
      </w:r>
      <w:r>
        <w:t xml:space="preserve">(MRSA) and methicillin-resistant</w:t>
      </w:r>
      <w:r>
        <w:t xml:space="preserve"> </w:t>
      </w:r>
      <w:r>
        <w:rPr>
          <w:iCs/>
          <w:i/>
        </w:rPr>
        <w:t xml:space="preserve">Staphylococcus pseudintermedius</w:t>
      </w:r>
      <w:r>
        <w:t xml:space="preserve"> </w:t>
      </w:r>
      <w:r>
        <w:t xml:space="preserve">(MRSP) are the two most clinically significant antimicrobial-resistant pathogens in companion-animal veterinary medicine [103,104]. MRSA in pets is primarily acquired from human sources (human-to-pet transmission is well documented), but companion animals can subsequently serve as reservoirs for re-infection of their owners, a bidirectional dynamic that has been documented in multiple household and veterinary-clinic studies [106,107]. Livestock-associated MRSA (LA-MRSA), particularly CC398, is predominantly a pig and veal-associated lineage that colonises farm workers and veterinarians at high rates and has caused human infections in Europe [107,116].</w:t>
      </w:r>
    </w:p>
    <w:p>
      <w:pPr>
        <w:pStyle w:val="BodyText"/>
      </w:pPr>
      <w:r>
        <w:t xml:space="preserve">MRSP is a major cause of treatment-resistant skin and soft-tissue infections, otitis, and surgical-site infections in dogs and cats. It is less frequently documented in human infections than MRSA, but can colonise pet owners and veterinary personnel, particularly in the context of close animal contact or exposure to infected wound material [103,104,105]. A German study of wound samples from companion animals found alarming proportions of MRSA (&gt;14% of staphylococcal isolates from wounds) in a multi-centre study from 2010 to 2012, underscoring the clinical scale of the problem [105].</w:t>
      </w:r>
    </w:p>
    <w:p>
      <w:pPr>
        <w:pStyle w:val="BodyText"/>
      </w:pPr>
      <w:r>
        <w:t xml:space="preserve">Pomba et al. reviewed public health risks of AMR transfer from companion animals to humans, concluding that the shared living environment, shared antimicrobial classes, and shared clinical microorganism pool between companion animals and their owners create a meaningful AMR transfer risk that is not adequately addressed by current surveillance systems [104].</w:t>
      </w:r>
    </w:p>
    <w:bookmarkEnd w:id="79"/>
    <w:bookmarkStart w:id="80" w:name="prevention-and-stewardship"/>
    <w:p>
      <w:pPr>
        <w:pStyle w:val="Heading4"/>
      </w:pPr>
      <w:r>
        <w:t xml:space="preserve">6.5.2 Prevention and stewardship</w:t>
      </w:r>
    </w:p>
    <w:p>
      <w:pPr>
        <w:pStyle w:val="FirstParagraph"/>
      </w:pPr>
      <w:r>
        <w:t xml:space="preserve">Prevention of MRSA/MRSP transmission requires: (i) antimicrobial stewardship—restricting use of antimicrobials critical for human medicine (fluoroquinolones, third-generation cephalosporins, vancomycin/linezolid) to cases where they are truly necessary; (ii) infection control in veterinary hospitals, including hand hygiene, contact precautions, environmental cleaning, and staff screening; (iii) screening of referral animals and patients undergoing elective surgery; (iv) owner education about hand hygiene and household surface cleaning when pets carry MRSA or MRSP; (v) MRSA/MRSP reporting to national and institutional surveillance systems [103,104,126].</w:t>
      </w:r>
    </w:p>
    <w:p>
      <w:r>
        <w:pict>
          <v:rect style="width:0;height:1.5pt" o:hralign="center" o:hrstd="t" o:hr="t"/>
        </w:pict>
      </w:r>
    </w:p>
    <w:bookmarkEnd w:id="80"/>
    <w:bookmarkEnd w:id="81"/>
    <w:bookmarkStart w:id="84" w:name="the-resistome-as-an-ecological-property"/>
    <w:p>
      <w:pPr>
        <w:pStyle w:val="Heading3"/>
      </w:pPr>
      <w:r>
        <w:t xml:space="preserve">6.6 The resistome as an ecological property</w:t>
      </w:r>
    </w:p>
    <w:bookmarkStart w:id="82" w:name="resistome-biology"/>
    <w:p>
      <w:pPr>
        <w:pStyle w:val="Heading4"/>
      </w:pPr>
      <w:r>
        <w:t xml:space="preserve">6.6.1 Resistome biology</w:t>
      </w:r>
    </w:p>
    <w:p>
      <w:pPr>
        <w:pStyle w:val="FirstParagraph"/>
      </w:pPr>
      <w:r>
        <w:t xml:space="preserve">The resistome—the collection of all AMR genes and their precursors in a given environment or microbial community—is an ecological property, not merely a property of individual pathogenic isolates [108,109]. Forsberg et al. demonstrated that soil bacteria harbour a vast</w:t>
      </w:r>
      <w:r>
        <w:t xml:space="preserve"> </w:t>
      </w:r>
      <w:r>
        <w:t xml:space="preserve">“</w:t>
      </w:r>
      <w:r>
        <w:t xml:space="preserve">proto-resistome</w:t>
      </w:r>
      <w:r>
        <w:t xml:space="preserve">”</w:t>
      </w:r>
      <w:r>
        <w:t xml:space="preserve"> </w:t>
      </w:r>
      <w:r>
        <w:t xml:space="preserve">of AMR gene homologues that are closely related to clinically relevant resistance genes in human pathogens, suggesting that resistance gene flow from environmental reservoirs to pathogens is ongoing and bidirectional [108]. Martínez et al. argued that ranking the clinical risk posed by different resistance gene reservoirs requires assessing not only gene presence but also mobility potential, the range of hosts that can be colonised, and the clinical importance of the affected antimicrobial class [109].</w:t>
      </w:r>
    </w:p>
    <w:p>
      <w:pPr>
        <w:pStyle w:val="BodyText"/>
      </w:pPr>
      <w:r>
        <w:t xml:space="preserve">The animal gut resistome is shaped by antimicrobial use, diet, microbiome composition, and animal species [5,6,34,98]. Munk et al. profiled fecal resistomes from slaughter pigs and broilers across nine European countries and found substantial country- and production-system-specific variation in resistome burden, with colistin and tetracycline resistance genes prevalent in southern European pig systems and extended-spectrum cephalosporin and fluoroquinolone resistance genes more prevalent in certain broiler systems [6]. Sun et al. showed that farm workers in China had their gut microbiota and resistome remodelled toward livestock-associated profiles after working on farms with high AMR burden, demonstrating direct human–animal resistome exchange at the occupational interface [5].</w:t>
      </w:r>
    </w:p>
    <w:bookmarkEnd w:id="82"/>
    <w:bookmarkStart w:id="83" w:name="X707ce3a92dc37c937c30b93f1e485f1bc70fede"/>
    <w:p>
      <w:pPr>
        <w:pStyle w:val="Heading4"/>
      </w:pPr>
      <w:r>
        <w:t xml:space="preserve">6.6.2 Environmental resistome and plasmid ecology</w:t>
      </w:r>
    </w:p>
    <w:p>
      <w:pPr>
        <w:pStyle w:val="FirstParagraph"/>
      </w:pPr>
      <w:r>
        <w:t xml:space="preserve">Continental-scale surveys of estuaries have detected AMR genes at high prevalence and abundance in aquatic environments receiving agricultural, urban, and hospital effluents, with CTX-M, quinolone, tetracycline, and sulphonamide resistance genes particularly ubiquitous [110]. In aquaculture, the mobility and co-occurrence of AMR genes between non-intensive systems and human communities, mediated by conjugative plasmids and integrons, has been characterised metagenomically [34]. Walsh reviewed the global emergence of carbapenemases—OXA, NDM, KPC, VIM—as clinical crises that originated partly in environmental and animal reservoirs and disseminated via conjugative plasmids, illustrating the trajectory from agricultural/environmental AMR reservoir to untreatable human infection [97].</w:t>
      </w:r>
    </w:p>
    <w:p>
      <w:pPr>
        <w:pStyle w:val="BodyText"/>
      </w:pPr>
      <w:r>
        <w:t xml:space="preserve">MCR-1, the plasmid-mediated colistin resistance gene, was detected in E. coli from livestock, food, and humans in China in 2016 and subsequently globally, within months of its original description, underscoring how rapidly plasmid-mediated resistance genes disseminate once established [96]. Van Boeckel et al. modelled global trends in antimicrobial use in food animals and projected that, without policy intervention, total use will double in low- and middle-income countries by 2030, with corresponding increases in resistance gene selection pressure [98].</w:t>
      </w:r>
    </w:p>
    <w:p>
      <w:pPr>
        <w:pStyle w:val="BodyText"/>
      </w:pPr>
      <w:r>
        <w:rPr>
          <w:bCs/>
          <w:b/>
        </w:rPr>
        <w:t xml:space="preserve">Table 5. Zoonotic microbiome-associated organisms and One Health relevance.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Organism/group</w:t>
            </w:r>
          </w:p>
        </w:tc>
        <w:tc>
          <w:tcPr/>
          <w:p>
            <w:pPr>
              <w:pStyle w:val="Compact"/>
              <w:jc w:val="left"/>
            </w:pPr>
            <w:r>
              <w:t xml:space="preserve">Main animal context</w:t>
            </w:r>
          </w:p>
        </w:tc>
        <w:tc>
          <w:tcPr/>
          <w:p>
            <w:pPr>
              <w:pStyle w:val="Compact"/>
              <w:jc w:val="left"/>
            </w:pPr>
            <w:r>
              <w:t xml:space="preserve">Human health relevance</w:t>
            </w:r>
          </w:p>
        </w:tc>
        <w:tc>
          <w:tcPr/>
          <w:p>
            <w:pPr>
              <w:pStyle w:val="Compact"/>
              <w:jc w:val="left"/>
            </w:pPr>
            <w:r>
              <w:t xml:space="preserve">Direction of transmission evidence</w:t>
            </w:r>
          </w:p>
        </w:tc>
        <w:tc>
          <w:tcPr/>
          <w:p>
            <w:pPr>
              <w:pStyle w:val="Compact"/>
              <w:jc w:val="left"/>
            </w:pPr>
            <w:r>
              <w:t xml:space="preserve">Key needed evidence</w:t>
            </w:r>
          </w:p>
        </w:tc>
      </w:tr>
      <w:tr>
        <w:tc>
          <w:tcPr/>
          <w:p>
            <w:pPr>
              <w:pStyle w:val="Compact"/>
              <w:jc w:val="left"/>
            </w:pPr>
            <w:r>
              <w:rPr>
                <w:iCs/>
                <w:i/>
              </w:rPr>
              <w:t xml:space="preserve">Helicobacter</w:t>
            </w:r>
            <w:r>
              <w:t xml:space="preserve"> </w:t>
            </w:r>
            <w:r>
              <w:t xml:space="preserve">spp. (NHPH)</w:t>
            </w:r>
          </w:p>
        </w:tc>
        <w:tc>
          <w:tcPr/>
          <w:p>
            <w:pPr>
              <w:pStyle w:val="Compact"/>
              <w:jc w:val="left"/>
            </w:pPr>
            <w:r>
              <w:t xml:space="preserve">Dogs, cats (gastric mucosa)</w:t>
            </w:r>
          </w:p>
        </w:tc>
        <w:tc>
          <w:tcPr/>
          <w:p>
            <w:pPr>
              <w:pStyle w:val="Compact"/>
              <w:jc w:val="left"/>
            </w:pPr>
            <w:r>
              <w:t xml:space="preserve">Lymphocytic gastritis, MALT lymphoma, dyspepsia</w:t>
            </w:r>
          </w:p>
        </w:tc>
        <w:tc>
          <w:tcPr/>
          <w:p>
            <w:pPr>
              <w:pStyle w:val="Compact"/>
              <w:jc w:val="left"/>
            </w:pPr>
            <w:r>
              <w:t xml:space="preserve">Companion-animal to human plausible but not confirmed</w:t>
            </w:r>
          </w:p>
        </w:tc>
        <w:tc>
          <w:tcPr/>
          <w:p>
            <w:pPr>
              <w:pStyle w:val="Compact"/>
              <w:jc w:val="left"/>
            </w:pPr>
            <w:r>
              <w:t xml:space="preserve">Household-structured genomic studies; NHPH-specific epidemiology</w:t>
            </w:r>
          </w:p>
        </w:tc>
      </w:tr>
      <w:tr>
        <w:tc>
          <w:tcPr/>
          <w:p>
            <w:pPr>
              <w:pStyle w:val="Compact"/>
              <w:jc w:val="left"/>
            </w:pPr>
            <w:r>
              <w:rPr>
                <w:iCs/>
                <w:i/>
              </w:rPr>
              <w:t xml:space="preserve">Clostridioides difficile</w:t>
            </w:r>
          </w:p>
        </w:tc>
        <w:tc>
          <w:tcPr/>
          <w:p>
            <w:pPr>
              <w:pStyle w:val="Compact"/>
              <w:jc w:val="left"/>
            </w:pPr>
            <w:r>
              <w:t xml:space="preserve">Horses, pigs, cattle, dogs, cats</w:t>
            </w:r>
          </w:p>
        </w:tc>
        <w:tc>
          <w:tcPr/>
          <w:p>
            <w:pPr>
              <w:pStyle w:val="Compact"/>
              <w:jc w:val="left"/>
            </w:pPr>
            <w:r>
              <w:t xml:space="preserve">CDI including community-acquired; ribotype 078 zoonotic concern</w:t>
            </w:r>
          </w:p>
        </w:tc>
        <w:tc>
          <w:tcPr/>
          <w:p>
            <w:pPr>
              <w:pStyle w:val="Compact"/>
              <w:jc w:val="left"/>
            </w:pPr>
            <w:r>
              <w:t xml:space="preserve">Bidirectional; foodborne and environmental; WGS evidence for shared clones</w:t>
            </w:r>
          </w:p>
        </w:tc>
        <w:tc>
          <w:tcPr/>
          <w:p>
            <w:pPr>
              <w:pStyle w:val="Compact"/>
              <w:jc w:val="left"/>
            </w:pPr>
            <w:r>
              <w:t xml:space="preserve">Routine ribotyping and WGS in veterinary CDI cases</w:t>
            </w:r>
          </w:p>
        </w:tc>
      </w:tr>
      <w:tr>
        <w:tc>
          <w:tcPr/>
          <w:p>
            <w:pPr>
              <w:pStyle w:val="Compact"/>
              <w:jc w:val="left"/>
            </w:pPr>
            <w:r>
              <w:rPr>
                <w:iCs/>
                <w:i/>
              </w:rPr>
              <w:t xml:space="preserve">E. coli</w:t>
            </w:r>
            <w:r>
              <w:t xml:space="preserve"> </w:t>
            </w:r>
            <w:r>
              <w:t xml:space="preserve">(STEC)</w:t>
            </w:r>
          </w:p>
        </w:tc>
        <w:tc>
          <w:tcPr/>
          <w:p>
            <w:pPr>
              <w:pStyle w:val="Compact"/>
              <w:jc w:val="left"/>
            </w:pPr>
            <w:r>
              <w:t xml:space="preserve">Cattle, sheep</w:t>
            </w:r>
          </w:p>
        </w:tc>
        <w:tc>
          <w:tcPr/>
          <w:p>
            <w:pPr>
              <w:pStyle w:val="Compact"/>
              <w:jc w:val="left"/>
            </w:pPr>
            <w:r>
              <w:t xml:space="preserve">Haemorrhagic colitis, HUS</w:t>
            </w:r>
          </w:p>
        </w:tc>
        <w:tc>
          <w:tcPr/>
          <w:p>
            <w:pPr>
              <w:pStyle w:val="Compact"/>
              <w:jc w:val="left"/>
            </w:pPr>
            <w:r>
              <w:t xml:space="preserve">Food-borne (animal-to-human) well established</w:t>
            </w:r>
          </w:p>
        </w:tc>
        <w:tc>
          <w:tcPr/>
          <w:p>
            <w:pPr>
              <w:pStyle w:val="Compact"/>
              <w:jc w:val="left"/>
            </w:pPr>
            <w:r>
              <w:t xml:space="preserve">Better on-farm STEC monitoring and intervention</w:t>
            </w:r>
          </w:p>
        </w:tc>
      </w:tr>
      <w:tr>
        <w:tc>
          <w:tcPr/>
          <w:p>
            <w:pPr>
              <w:pStyle w:val="Compact"/>
              <w:jc w:val="left"/>
            </w:pPr>
            <w:r>
              <w:rPr>
                <w:iCs/>
                <w:i/>
              </w:rPr>
              <w:t xml:space="preserve">E. coli</w:t>
            </w:r>
            <w:r>
              <w:t xml:space="preserve"> </w:t>
            </w:r>
            <w:r>
              <w:t xml:space="preserve">(ExPEC/UPEC)</w:t>
            </w:r>
          </w:p>
        </w:tc>
        <w:tc>
          <w:tcPr/>
          <w:p>
            <w:pPr>
              <w:pStyle w:val="Compact"/>
              <w:jc w:val="left"/>
            </w:pPr>
            <w:r>
              <w:t xml:space="preserve">Companion animals, poultry</w:t>
            </w:r>
          </w:p>
        </w:tc>
        <w:tc>
          <w:tcPr/>
          <w:p>
            <w:pPr>
              <w:pStyle w:val="Compact"/>
              <w:jc w:val="left"/>
            </w:pPr>
            <w:r>
              <w:t xml:space="preserve">UTI, bacteraemia, surgical-site infection</w:t>
            </w:r>
          </w:p>
        </w:tc>
        <w:tc>
          <w:tcPr/>
          <w:p>
            <w:pPr>
              <w:pStyle w:val="Compact"/>
              <w:jc w:val="left"/>
            </w:pPr>
            <w:r>
              <w:t xml:space="preserve">Bidirectional; ST131 in animals and humans</w:t>
            </w:r>
          </w:p>
        </w:tc>
        <w:tc>
          <w:tcPr/>
          <w:p>
            <w:pPr>
              <w:pStyle w:val="Compact"/>
              <w:jc w:val="left"/>
            </w:pPr>
            <w:r>
              <w:t xml:space="preserve">Household WGS comparisons; ST131 surveillance in animals</w:t>
            </w:r>
          </w:p>
        </w:tc>
      </w:tr>
      <w:tr>
        <w:tc>
          <w:tcPr/>
          <w:p>
            <w:pPr>
              <w:pStyle w:val="Compact"/>
              <w:jc w:val="left"/>
            </w:pPr>
            <w:r>
              <w:rPr>
                <w:iCs/>
                <w:i/>
              </w:rPr>
              <w:t xml:space="preserve">E. coli</w:t>
            </w:r>
            <w:r>
              <w:t xml:space="preserve"> </w:t>
            </w:r>
            <w:r>
              <w:t xml:space="preserve">(ESBL/CRE/MCR-1)</w:t>
            </w:r>
          </w:p>
        </w:tc>
        <w:tc>
          <w:tcPr/>
          <w:p>
            <w:pPr>
              <w:pStyle w:val="Compact"/>
              <w:jc w:val="left"/>
            </w:pPr>
            <w:r>
              <w:t xml:space="preserve">All production animals, companion animals</w:t>
            </w:r>
          </w:p>
        </w:tc>
        <w:tc>
          <w:tcPr/>
          <w:p>
            <w:pPr>
              <w:pStyle w:val="Compact"/>
              <w:jc w:val="left"/>
            </w:pPr>
            <w:r>
              <w:t xml:space="preserve">MDR human infections, last-resort AMR compromise</w:t>
            </w:r>
          </w:p>
        </w:tc>
        <w:tc>
          <w:tcPr/>
          <w:p>
            <w:pPr>
              <w:pStyle w:val="Compact"/>
              <w:jc w:val="left"/>
            </w:pPr>
            <w:r>
              <w:t xml:space="preserve">Animal-to-human via food, contact, environment</w:t>
            </w:r>
          </w:p>
        </w:tc>
        <w:tc>
          <w:tcPr/>
          <w:p>
            <w:pPr>
              <w:pStyle w:val="Compact"/>
              <w:jc w:val="left"/>
            </w:pPr>
            <w:r>
              <w:t xml:space="preserve">Plasmid-resolved metagenomics; longitudinal transmission studies</w:t>
            </w:r>
          </w:p>
        </w:tc>
      </w:tr>
      <w:tr>
        <w:tc>
          <w:tcPr/>
          <w:p>
            <w:pPr>
              <w:pStyle w:val="Compact"/>
              <w:jc w:val="left"/>
            </w:pPr>
            <w:r>
              <w:rPr>
                <w:iCs/>
                <w:i/>
              </w:rPr>
              <w:t xml:space="preserve">Streptococcus canis</w:t>
            </w:r>
          </w:p>
        </w:tc>
        <w:tc>
          <w:tcPr/>
          <w:p>
            <w:pPr>
              <w:pStyle w:val="Compact"/>
              <w:jc w:val="left"/>
            </w:pPr>
            <w:r>
              <w:t xml:space="preserve">Dogs, cats</w:t>
            </w:r>
          </w:p>
        </w:tc>
        <w:tc>
          <w:tcPr/>
          <w:p>
            <w:pPr>
              <w:pStyle w:val="Compact"/>
              <w:jc w:val="left"/>
            </w:pPr>
            <w:r>
              <w:t xml:space="preserve">Bacteraemia, NF in immunocompromised</w:t>
            </w:r>
          </w:p>
        </w:tc>
        <w:tc>
          <w:tcPr/>
          <w:p>
            <w:pPr>
              <w:pStyle w:val="Compact"/>
              <w:jc w:val="left"/>
            </w:pPr>
            <w:r>
              <w:t xml:space="preserve">Animal-to-human plausible, rare events</w:t>
            </w:r>
          </w:p>
        </w:tc>
        <w:tc>
          <w:tcPr/>
          <w:p>
            <w:pPr>
              <w:pStyle w:val="Compact"/>
              <w:jc w:val="left"/>
            </w:pPr>
            <w:r>
              <w:t xml:space="preserve">Household-structured genomic surveillance</w:t>
            </w:r>
          </w:p>
        </w:tc>
      </w:tr>
      <w:tr>
        <w:tc>
          <w:tcPr/>
          <w:p>
            <w:pPr>
              <w:pStyle w:val="Compact"/>
              <w:jc w:val="left"/>
            </w:pPr>
            <w:r>
              <w:rPr>
                <w:iCs/>
                <w:i/>
              </w:rPr>
              <w:t xml:space="preserve">Streptococcus suis</w:t>
            </w:r>
          </w:p>
        </w:tc>
        <w:tc>
          <w:tcPr/>
          <w:p>
            <w:pPr>
              <w:pStyle w:val="Compact"/>
              <w:jc w:val="left"/>
            </w:pPr>
            <w:r>
              <w:t xml:space="preserve">Pigs</w:t>
            </w:r>
          </w:p>
        </w:tc>
        <w:tc>
          <w:tcPr/>
          <w:p>
            <w:pPr>
              <w:pStyle w:val="Compact"/>
              <w:jc w:val="left"/>
            </w:pPr>
            <w:r>
              <w:t xml:space="preserve">Meningitis, septicaemia (esp. SE Asia)</w:t>
            </w:r>
          </w:p>
        </w:tc>
        <w:tc>
          <w:tcPr/>
          <w:p>
            <w:pPr>
              <w:pStyle w:val="Compact"/>
              <w:jc w:val="left"/>
            </w:pPr>
            <w:r>
              <w:t xml:space="preserve">Occupational/foodborne zoonosis well established</w:t>
            </w:r>
          </w:p>
        </w:tc>
        <w:tc>
          <w:tcPr/>
          <w:p>
            <w:pPr>
              <w:pStyle w:val="Compact"/>
              <w:jc w:val="left"/>
            </w:pPr>
            <w:r>
              <w:t xml:space="preserve">Serotype/ST surveillance; occupational monitoring; AMR profiling</w:t>
            </w:r>
          </w:p>
        </w:tc>
      </w:tr>
      <w:tr>
        <w:tc>
          <w:tcPr/>
          <w:p>
            <w:pPr>
              <w:pStyle w:val="Compact"/>
              <w:jc w:val="left"/>
            </w:pPr>
            <w:r>
              <w:t xml:space="preserve">MRSA (esp. LA-MRSA CC398)</w:t>
            </w:r>
          </w:p>
        </w:tc>
        <w:tc>
          <w:tcPr/>
          <w:p>
            <w:pPr>
              <w:pStyle w:val="Compact"/>
              <w:jc w:val="left"/>
            </w:pPr>
            <w:r>
              <w:t xml:space="preserve">Pigs, horses, companion animals</w:t>
            </w:r>
          </w:p>
        </w:tc>
        <w:tc>
          <w:tcPr/>
          <w:p>
            <w:pPr>
              <w:pStyle w:val="Compact"/>
              <w:jc w:val="left"/>
            </w:pPr>
            <w:r>
              <w:t xml:space="preserve">Skin/soft-tissue, surgical-site, bloodstream</w:t>
            </w:r>
          </w:p>
        </w:tc>
        <w:tc>
          <w:tcPr/>
          <w:p>
            <w:pPr>
              <w:pStyle w:val="Compact"/>
              <w:jc w:val="left"/>
            </w:pPr>
            <w:r>
              <w:t xml:space="preserve">Human-to-pet and pet-to-human bidirectional; farm-to-farmer well documented</w:t>
            </w:r>
          </w:p>
        </w:tc>
        <w:tc>
          <w:tcPr/>
          <w:p>
            <w:pPr>
              <w:pStyle w:val="Compact"/>
              <w:jc w:val="left"/>
            </w:pPr>
            <w:r>
              <w:t xml:space="preserve">Active surveillance in high-risk farm and veterinary clinic settings</w:t>
            </w:r>
          </w:p>
        </w:tc>
      </w:tr>
      <w:tr>
        <w:tc>
          <w:tcPr/>
          <w:p>
            <w:pPr>
              <w:pStyle w:val="Compact"/>
              <w:jc w:val="left"/>
            </w:pPr>
            <w:r>
              <w:t xml:space="preserve">MRSP</w:t>
            </w:r>
          </w:p>
        </w:tc>
        <w:tc>
          <w:tcPr/>
          <w:p>
            <w:pPr>
              <w:pStyle w:val="Compact"/>
              <w:jc w:val="left"/>
            </w:pPr>
            <w:r>
              <w:t xml:space="preserve">Dogs, cats</w:t>
            </w:r>
          </w:p>
        </w:tc>
        <w:tc>
          <w:tcPr/>
          <w:p>
            <w:pPr>
              <w:pStyle w:val="Compact"/>
              <w:jc w:val="left"/>
            </w:pPr>
            <w:r>
              <w:t xml:space="preserve">Rare direct transmission to humans</w:t>
            </w:r>
          </w:p>
        </w:tc>
        <w:tc>
          <w:tcPr/>
          <w:p>
            <w:pPr>
              <w:pStyle w:val="Compact"/>
              <w:jc w:val="left"/>
            </w:pPr>
            <w:r>
              <w:t xml:space="preserve">Low-level bidirectional colonisation reported</w:t>
            </w:r>
          </w:p>
        </w:tc>
        <w:tc>
          <w:tcPr/>
          <w:p>
            <w:pPr>
              <w:pStyle w:val="Compact"/>
              <w:jc w:val="left"/>
            </w:pPr>
            <w:r>
              <w:t xml:space="preserve">Structured household prevalence studies</w:t>
            </w:r>
          </w:p>
        </w:tc>
      </w:tr>
      <w:tr>
        <w:tc>
          <w:tcPr/>
          <w:p>
            <w:pPr>
              <w:pStyle w:val="Compact"/>
              <w:jc w:val="left"/>
            </w:pPr>
            <w:r>
              <w:t xml:space="preserve">ESBL/CRE Enterobacterales</w:t>
            </w:r>
          </w:p>
        </w:tc>
        <w:tc>
          <w:tcPr/>
          <w:p>
            <w:pPr>
              <w:pStyle w:val="Compact"/>
              <w:jc w:val="left"/>
            </w:pPr>
            <w:r>
              <w:t xml:space="preserve">All production animals; companion animals</w:t>
            </w:r>
          </w:p>
        </w:tc>
        <w:tc>
          <w:tcPr/>
          <w:p>
            <w:pPr>
              <w:pStyle w:val="Compact"/>
              <w:jc w:val="left"/>
            </w:pPr>
            <w:r>
              <w:t xml:space="preserve">Last-resort resistance compromise</w:t>
            </w:r>
          </w:p>
        </w:tc>
        <w:tc>
          <w:tcPr/>
          <w:p>
            <w:pPr>
              <w:pStyle w:val="Compact"/>
              <w:jc w:val="left"/>
            </w:pPr>
            <w:r>
              <w:t xml:space="preserve">Multiple routes; plasmid-mediated</w:t>
            </w:r>
          </w:p>
        </w:tc>
        <w:tc>
          <w:tcPr/>
          <w:p>
            <w:pPr>
              <w:pStyle w:val="Compact"/>
              <w:jc w:val="left"/>
            </w:pPr>
            <w:r>
              <w:t xml:space="preserve">Long-read plasmid-resolved surveillance; metagenomics</w:t>
            </w:r>
          </w:p>
        </w:tc>
      </w:tr>
      <w:tr>
        <w:tc>
          <w:tcPr/>
          <w:p>
            <w:pPr>
              <w:pStyle w:val="Compact"/>
              <w:jc w:val="left"/>
            </w:pPr>
            <w:r>
              <w:t xml:space="preserve">Aquaculture resistome</w:t>
            </w:r>
          </w:p>
        </w:tc>
        <w:tc>
          <w:tcPr/>
          <w:p>
            <w:pPr>
              <w:pStyle w:val="Compact"/>
              <w:jc w:val="left"/>
            </w:pPr>
            <w:r>
              <w:t xml:space="preserve">Fish, shrimp, water</w:t>
            </w:r>
          </w:p>
        </w:tc>
        <w:tc>
          <w:tcPr/>
          <w:p>
            <w:pPr>
              <w:pStyle w:val="Compact"/>
              <w:jc w:val="left"/>
            </w:pPr>
            <w:r>
              <w:t xml:space="preserve">Environmental AMR gene pool</w:t>
            </w:r>
          </w:p>
        </w:tc>
        <w:tc>
          <w:tcPr/>
          <w:p>
            <w:pPr>
              <w:pStyle w:val="Compact"/>
              <w:jc w:val="left"/>
            </w:pPr>
            <w:r>
              <w:t xml:space="preserve">Waterway-mediated gene flow documented</w:t>
            </w:r>
          </w:p>
        </w:tc>
        <w:tc>
          <w:tcPr/>
          <w:p>
            <w:pPr>
              <w:pStyle w:val="Compact"/>
              <w:jc w:val="left"/>
            </w:pPr>
            <w:r>
              <w:t xml:space="preserve">Integrated effluent and clinical AMR surveillance</w:t>
            </w:r>
          </w:p>
        </w:tc>
      </w:tr>
    </w:tbl>
    <w:p>
      <w:r>
        <w:pict>
          <v:rect style="width:0;height:1.5pt" o:hralign="center" o:hrstd="t" o:hr="t"/>
        </w:pict>
      </w:r>
    </w:p>
    <w:bookmarkEnd w:id="83"/>
    <w:bookmarkEnd w:id="84"/>
    <w:bookmarkEnd w:id="85"/>
    <w:bookmarkStart w:id="94" w:name="Xacdcf25ec1d08b590d44c0d1d1f3c2426b1800f"/>
    <w:p>
      <w:pPr>
        <w:pStyle w:val="Heading2"/>
      </w:pPr>
      <w:r>
        <w:t xml:space="preserve">7. Study-Design Priorities for the Next Decade of Veterinary Microbiome Research</w:t>
      </w:r>
    </w:p>
    <w:bookmarkStart w:id="86" w:name="X59d80016bd3f5f301a7fc0f72372ebe198a2053"/>
    <w:p>
      <w:pPr>
        <w:pStyle w:val="Heading3"/>
      </w:pPr>
      <w:r>
        <w:t xml:space="preserve">7.1 Pre-specify the clinical or operational decision that microbiome data will inform</w:t>
      </w:r>
    </w:p>
    <w:p>
      <w:pPr>
        <w:pStyle w:val="FirstParagraph"/>
      </w:pPr>
      <w:r>
        <w:t xml:space="preserve">Every veterinary microbiome study should begin by stating which clinical or management decision the data will change and what level of evidence would be required to act on the result. Studies that enumerate community differences without pre-specifying a decision endpoint generate pattern libraries that rarely translate. Pre-specified decision framing forces the design to include an appropriate comparator (healthy animals, pre-treatment state, alternative product), a meaningful outcome (clinical activity score, production parameter, AMR burden, pathogen shedding), and a biological mechanism linking the proposed microbial shift to that outcome.</w:t>
      </w:r>
    </w:p>
    <w:bookmarkEnd w:id="86"/>
    <w:bookmarkStart w:id="87" w:name="match-the-method-to-the-question"/>
    <w:p>
      <w:pPr>
        <w:pStyle w:val="Heading3"/>
      </w:pPr>
      <w:r>
        <w:t xml:space="preserve">7.2 Match the method to the question</w:t>
      </w:r>
    </w:p>
    <w:p>
      <w:pPr>
        <w:pStyle w:val="FirstParagraph"/>
      </w:pPr>
      <w:r>
        <w:t xml:space="preserve">Sixteen-S rRNA amplicon sequencing is appropriate for cost-effective discovery in large cohorts but insufficient for resistome analysis, strain tracking, or functional pathway assignment. Shotgun metagenomics should be chosen when AMR genes, mobile elements, strain-level differentiation, or metabolic pathway reconstruction are required. Metabolomics—targeted or untargeted—should be added whenever a functional readout closer to host phenotype is required, particularly for bile acid, SCFA, tryptophan, and nitrogen-metabolite pathways. Culture-based methods with WGS remain irreplaceable for pathogen identification, safety testing of probiotic or biotherapeutic strains, and clinical isolate characterisation. Long-read sequencing (Oxford Nanopore, PacBio HiFi) should be applied when plasmid-resolved AMR gene linkage, complete strain genomes, or mobile genetic element characterisation is required [109,110,133,136].</w:t>
      </w:r>
    </w:p>
    <w:bookmarkEnd w:id="87"/>
    <w:bookmarkStart w:id="88" w:name="Xd4653b40d965f656b6b6ceab2d1f06585a972b4"/>
    <w:p>
      <w:pPr>
        <w:pStyle w:val="Heading3"/>
      </w:pPr>
      <w:r>
        <w:t xml:space="preserve">7.3 Control for diet, antimicrobial exposure, and management before interpreting composition</w:t>
      </w:r>
    </w:p>
    <w:p>
      <w:pPr>
        <w:pStyle w:val="FirstParagraph"/>
      </w:pPr>
      <w:r>
        <w:t xml:space="preserve">These three variables routinely explain more fecal microbial variance than clinical disease status in companion animals [10,41], horses [21,53], and livestock [23,54,62]. Studies that do not control for them—at least through stratification, covariate adjustment, or restricted enrolment—cannot reliably attribute microbiome differences to the exposure of interest. In practice: (i) record and report diet composition, recent changes, and duration since last change; (ii) record antimicrobial class, dose, duration, and time since last dose; (iii) record housing, management, and geographic location; (iv) use validated disease activity or clinical severity scores as phenotype anchors [46,53,62].</w:t>
      </w:r>
    </w:p>
    <w:bookmarkEnd w:id="88"/>
    <w:bookmarkStart w:id="89" w:name="X30ded61d2fd85ee485e5c855fb4b7e577105da5"/>
    <w:p>
      <w:pPr>
        <w:pStyle w:val="Heading3"/>
      </w:pPr>
      <w:r>
        <w:t xml:space="preserve">7.4 Use longitudinal and interventional designs wherever possible</w:t>
      </w:r>
    </w:p>
    <w:p>
      <w:pPr>
        <w:pStyle w:val="FirstParagraph"/>
      </w:pPr>
      <w:r>
        <w:t xml:space="preserve">Cross-sectional case-control studies are necessary first steps but weak evidence for intervention. Longitudinal designs with repeated sampling before, during, and after perturbation or treatment provide substantially stronger inference [19,20,73]. Controlled intervention studies—including randomised or stratified trials where feasible—with pre-specified endpoints provide the strongest evidence for clinical or production decision-making [11–13,28–31,36,37]. Even small, well-designed controlled trials with clear endpoints and functional measurements outperform large, underpowered, confounded descriptive studies.</w:t>
      </w:r>
    </w:p>
    <w:bookmarkEnd w:id="89"/>
    <w:bookmarkStart w:id="90" w:name="X2e6e2d7bb4f58d9e1a98162ffb5e6e8e0bfef13"/>
    <w:p>
      <w:pPr>
        <w:pStyle w:val="Heading3"/>
      </w:pPr>
      <w:r>
        <w:t xml:space="preserve">7.5 Measure absolute abundance or use internal standards</w:t>
      </w:r>
    </w:p>
    <w:p>
      <w:pPr>
        <w:pStyle w:val="FirstParagraph"/>
      </w:pPr>
      <w:r>
        <w:t xml:space="preserve">Relative abundance data alone are insufficient when absolute community size changes substantially between conditions—as occurs during acute diarrhea, antimicrobial treatment, feed restriction, or disease challenge [42,135]. Spike-in controls, qPCR-based absolute quantification of bacterial load, or flow cytometry-based total cell counting should be incorporated when the goal is detecting gains or losses rather than shifts in relative composition. The canine dysbiosis index’s use of qPCR, which provides quantitative data anchored to total bacterial load, is a model for this approach [1,42].</w:t>
      </w:r>
    </w:p>
    <w:bookmarkEnd w:id="90"/>
    <w:bookmarkStart w:id="91" w:name="Xb5799da390bfc916cfd4bc52f88ec825ba6db5c"/>
    <w:p>
      <w:pPr>
        <w:pStyle w:val="Heading3"/>
      </w:pPr>
      <w:r>
        <w:t xml:space="preserve">7.6 Integrate functional and ecological endpoints beyond membership</w:t>
      </w:r>
    </w:p>
    <w:p>
      <w:pPr>
        <w:pStyle w:val="FirstParagraph"/>
      </w:pPr>
      <w:r>
        <w:t xml:space="preserve">At minimum, functional integration should include one or more of: SCFA quantification in feces or intestinal content [2,3,44,53,60]; bile acid profiling [2,3,44,47]; targeted metabolomics for tryptophan, nitrogen, or energy-pathway metabolites [15–17,19,55]; AMR gene carriage by metagenomics or targeted PCR [5,6,34]; strain-level tracking for engraftment or transmission studies [13,31,134]; host transcriptomic or inflammatory marker responses where appropriate [28,31]. The goal is to link microbial change to a biological or production variable that is independently meaningful—not simply to describe taxa.</w:t>
      </w:r>
    </w:p>
    <w:bookmarkEnd w:id="91"/>
    <w:bookmarkStart w:id="92" w:name="Xb88eda59fc02c43af62724f296f55c0fba922c8"/>
    <w:p>
      <w:pPr>
        <w:pStyle w:val="Heading3"/>
      </w:pPr>
      <w:r>
        <w:t xml:space="preserve">7.7 Apply appropriate statistical methods for compositional and high-dimensional data</w:t>
      </w:r>
    </w:p>
    <w:p>
      <w:pPr>
        <w:pStyle w:val="FirstParagraph"/>
      </w:pPr>
      <w:r>
        <w:t xml:space="preserve">Compositional bias—the fact that relative abundance data are parts of a whole and that changes in one taxon arithmetically affect all others—is routinely ignored in veterinary microbiome analyses [135]. Approaches including centred log-ratio (CLR) transformation, Aitchison distance, ANCOM-BC, and Dirichlet-multinomial models should replace or supplement standard ANOVA and Wilcoxon tests on relative abundances. Multi-variate permutation tests (PERMANOVA) require adequate sample sizes and should include relevant covariates. Correction for multiple comparisons must be transparent. Where sample sizes are small, as is often the case in large-animal interventional research, Bayesian approaches or mixed models may be more appropriate than frequentist permutation tests [135,136,137].</w:t>
      </w:r>
    </w:p>
    <w:bookmarkEnd w:id="92"/>
    <w:bookmarkStart w:id="93" w:name="X17e8c6d6830bcc2be8ed3fb3225cf59dabed8ab"/>
    <w:p>
      <w:pPr>
        <w:pStyle w:val="Heading3"/>
      </w:pPr>
      <w:r>
        <w:t xml:space="preserve">7.8 Report to STORMS standards and share data</w:t>
      </w:r>
    </w:p>
    <w:p>
      <w:pPr>
        <w:pStyle w:val="FirstParagraph"/>
      </w:pPr>
      <w:r>
        <w:t xml:space="preserve">The STORMS (Strengthening The Organization and Reporting of Microbiome Studies) checklist was developed for human microbiome research but is directly applicable to veterinary studies [8]. Adherence to STORMS ensures that host metadata, sample collection, storage, laboratory methods, bioinformatics, and statistical approaches are reported transparently enough to allow replication, meta-analysis, and comparability across studies. Raw sequence data should be deposited in public repositories (NCBI SRA, EBI ENA) with full metadata at the time of publication. Resistance gene and plasmid sequences should be deposited in standard AMR databases (CARD, NCBI AMRFinderPlus, ResFinder) to support One Health surveillance [6,34,109].</w:t>
      </w:r>
    </w:p>
    <w:p>
      <w:r>
        <w:pict>
          <v:rect style="width:0;height:1.5pt" o:hralign="center" o:hrstd="t" o:hr="t"/>
        </w:pict>
      </w:r>
    </w:p>
    <w:bookmarkEnd w:id="93"/>
    <w:bookmarkEnd w:id="94"/>
    <w:bookmarkStart w:id="95" w:name="conclusions"/>
    <w:p>
      <w:pPr>
        <w:pStyle w:val="Heading2"/>
      </w:pPr>
      <w:r>
        <w:t xml:space="preserve">8. Conclusions</w:t>
      </w:r>
    </w:p>
    <w:p>
      <w:pPr>
        <w:pStyle w:val="FirstParagraph"/>
      </w:pPr>
      <w:r>
        <w:t xml:space="preserve">Veterinary microbiome science is producing its first generation of clinically and operationally actionable results. Standardised canine and feline dysbiosis indices, FMT evidence in dogs with chronic enteropathy, drug-specific equine microbiome perturbation data, multi-omic rumen feed-efficiency relationships, engineered poultry biotherapeutics, and system-level aquaculture AMR surveillance all represent genuine advances beyond early descriptive surveys. At the same time, the field continues to generate a large volume of cross-sectional 16S data that is interpreted with more certainty than the evidence supports, and commercial microbiome tests and products are frequently marketed ahead of species-specific clinical validation.</w:t>
      </w:r>
    </w:p>
    <w:p>
      <w:pPr>
        <w:pStyle w:val="BodyText"/>
      </w:pPr>
      <w:r>
        <w:t xml:space="preserve">Four principles should guide the next decade. First, replace</w:t>
      </w:r>
      <w:r>
        <w:t xml:space="preserve"> </w:t>
      </w:r>
      <w:r>
        <w:t xml:space="preserve">“</w:t>
      </w:r>
      <w:r>
        <w:t xml:space="preserve">dysbiosis</w:t>
      </w:r>
      <w:r>
        <w:t xml:space="preserve">”</w:t>
      </w:r>
      <w:r>
        <w:t xml:space="preserve"> </w:t>
      </w:r>
      <w:r>
        <w:t xml:space="preserve">with specific ecological diagnoses: not</w:t>
      </w:r>
      <w:r>
        <w:t xml:space="preserve"> </w:t>
      </w:r>
      <w:r>
        <w:t xml:space="preserve">“</w:t>
      </w:r>
      <w:r>
        <w:t xml:space="preserve">the microbiome is disturbed</w:t>
      </w:r>
      <w:r>
        <w:t xml:space="preserve">”</w:t>
      </w:r>
      <w:r>
        <w:t xml:space="preserve"> </w:t>
      </w:r>
      <w:r>
        <w:t xml:space="preserve">but</w:t>
      </w:r>
      <w:r>
        <w:t xml:space="preserve"> </w:t>
      </w:r>
      <w:r>
        <w:t xml:space="preserve">“</w:t>
      </w:r>
      <w:r>
        <w:t xml:space="preserve">butyrate-producing anaerobes are depleted, bile acid deconjugation is impaired, and these changes are associated with a persistent fecal metabolomic shift in a dog with confirmed steroid-refractory chronic enteropathy.</w:t>
      </w:r>
      <w:r>
        <w:t xml:space="preserve">”</w:t>
      </w:r>
      <w:r>
        <w:t xml:space="preserve"> </w:t>
      </w:r>
      <w:r>
        <w:t xml:space="preserve">Second, integrate function: microbiome composition alone is a weak predictor of outcome; bile acids, SCFAs, AMR genes, and host immune or metabolic responses are biologically proximate endpoints that should accompany taxonomic data. Third, borrow critically from human microbiome medicine: the regulatory pathway for microbiome-based products, the clinical-validity framework for microbiome tests, and the FMT evidence standard all provide tractable templates—but species-specific validation cannot be skipped. Fourth, take One Health seriously: AMR gene reservoirs in companion animals and food animals are shared with humans through contact, food, and environmental pathways that are already documented at genomic resolution; veterinary antimicrobial stewardship is therefore a direct contribution to human AMR burden reduction, not merely an analogy.</w:t>
      </w:r>
    </w:p>
    <w:p>
      <w:pPr>
        <w:pStyle w:val="BodyText"/>
      </w:pPr>
      <w:r>
        <w:t xml:space="preserve">The most durable contribution veterinary microbiome research can make to clinical medicine and public health is not the discovery of more taxa differentially abundant between cases and controls, but the translation of robust, mechanism-grounded, indication-specific microbiome insights into decisions that change patient outcomes, production efficiency, and AMR trajectories in ways that are measurable, reproducible, and not otherwise achievable. That standard is being met in isolated examples; the challenge is to make it the norm.</w:t>
      </w:r>
    </w:p>
    <w:p>
      <w:r>
        <w:pict>
          <v:rect style="width:0;height:1.5pt" o:hralign="center" o:hrstd="t" o:hr="t"/>
        </w:pict>
      </w:r>
    </w:p>
    <w:bookmarkEnd w:id="95"/>
    <w:bookmarkStart w:id="99" w:name="figures"/>
    <w:p>
      <w:pPr>
        <w:pStyle w:val="Heading2"/>
      </w:pPr>
      <w:r>
        <w:t xml:space="preserve">Figures</w:t>
      </w:r>
    </w:p>
    <w:bookmarkStart w:id="96" w:name="figure-1"/>
    <w:p>
      <w:pPr>
        <w:pStyle w:val="Heading3"/>
      </w:pPr>
      <w:r>
        <w:t xml:space="preserve">Figure 1</w:t>
      </w:r>
    </w:p>
    <w:p>
      <w:pPr>
        <w:pStyle w:val="FirstParagraph"/>
      </w:pPr>
      <w:r>
        <w:rPr>
          <w:bCs/>
          <w:b/>
        </w:rPr>
        <w:t xml:space="preserve">Caption:</w:t>
      </w:r>
      <w:r>
        <w:t xml:space="preserve"> </w:t>
      </w:r>
      <w:r>
        <w:t xml:space="preserve">Conceptual framework for translating veterinary microbiome data into clinical and management decisions. The figure illustrates a tiered evidence pathway from descriptive community profiling (16S rRNA amplicon sequencing, cross-sectional design) through functional characterisation (metagenomics, metabolomics, absolute quantification) to controlled interventional evidence (randomised or stratified trials with pre-specified endpoints) and, ultimately, regulated therapeutic or diagnostic products. Each tier is labelled with example veterinary applications and the minimum additional data required to progress to the next tier.</w:t>
      </w:r>
    </w:p>
    <w:p>
      <w:pPr>
        <w:pStyle w:val="BodyText"/>
      </w:pPr>
      <w:r>
        <w:rPr>
          <w:bCs/>
          <w:b/>
        </w:rPr>
        <w:t xml:space="preserve">GPT-image2 prompt:</w:t>
      </w:r>
      <w:r>
        <w:t xml:space="preserve"> </w:t>
      </w:r>
      <w:r>
        <w:t xml:space="preserve">“</w:t>
      </w:r>
      <w:r>
        <w:t xml:space="preserve">Create a clean scientific infographic for a veterinary journal review article. The figure shows a vertical pyramid with four tiers, each tier narrower toward the top. Tier 1 (bottom, widest, pale blue): labelled</w:t>
      </w:r>
      <w:r>
        <w:t xml:space="preserve"> </w:t>
      </w:r>
      <w:r>
        <w:t xml:space="preserve">‘</w:t>
      </w:r>
      <w:r>
        <w:t xml:space="preserve">Descriptive Profiling</w:t>
      </w:r>
      <w:r>
        <w:t xml:space="preserve">’</w:t>
      </w:r>
      <w:r>
        <w:t xml:space="preserve"> </w:t>
      </w:r>
      <w:r>
        <w:t xml:space="preserve">with sub-labels</w:t>
      </w:r>
      <w:r>
        <w:t xml:space="preserve"> </w:t>
      </w:r>
      <w:r>
        <w:t xml:space="preserve">‘</w:t>
      </w:r>
      <w:r>
        <w:t xml:space="preserve">16S rRNA amplicon sequencing</w:t>
      </w:r>
      <w:r>
        <w:t xml:space="preserve">’</w:t>
      </w:r>
      <w:r>
        <w:t xml:space="preserve">,</w:t>
      </w:r>
      <w:r>
        <w:t xml:space="preserve"> </w:t>
      </w:r>
      <w:r>
        <w:t xml:space="preserve">‘</w:t>
      </w:r>
      <w:r>
        <w:t xml:space="preserve">Cross-sectional case-control</w:t>
      </w:r>
      <w:r>
        <w:t xml:space="preserve">’</w:t>
      </w:r>
      <w:r>
        <w:t xml:space="preserve">,</w:t>
      </w:r>
      <w:r>
        <w:t xml:space="preserve"> </w:t>
      </w:r>
      <w:r>
        <w:t xml:space="preserve">‘</w:t>
      </w:r>
      <w:r>
        <w:t xml:space="preserve">Relative abundance</w:t>
      </w:r>
      <w:r>
        <w:t xml:space="preserve">’</w:t>
      </w:r>
      <w:r>
        <w:t xml:space="preserve">. Tier 2 (pale green): labelled</w:t>
      </w:r>
      <w:r>
        <w:t xml:space="preserve"> </w:t>
      </w:r>
      <w:r>
        <w:t xml:space="preserve">‘</w:t>
      </w:r>
      <w:r>
        <w:t xml:space="preserve">Functional Characterisation</w:t>
      </w:r>
      <w:r>
        <w:t xml:space="preserve">’</w:t>
      </w:r>
      <w:r>
        <w:t xml:space="preserve"> </w:t>
      </w:r>
      <w:r>
        <w:t xml:space="preserve">with sub-labels</w:t>
      </w:r>
      <w:r>
        <w:t xml:space="preserve"> </w:t>
      </w:r>
      <w:r>
        <w:t xml:space="preserve">‘</w:t>
      </w:r>
      <w:r>
        <w:t xml:space="preserve">Metagenomics / metabolomics</w:t>
      </w:r>
      <w:r>
        <w:t xml:space="preserve">’</w:t>
      </w:r>
      <w:r>
        <w:t xml:space="preserve">,</w:t>
      </w:r>
      <w:r>
        <w:t xml:space="preserve"> </w:t>
      </w:r>
      <w:r>
        <w:t xml:space="preserve">‘</w:t>
      </w:r>
      <w:r>
        <w:t xml:space="preserve">Absolute quantification</w:t>
      </w:r>
      <w:r>
        <w:t xml:space="preserve">’</w:t>
      </w:r>
      <w:r>
        <w:t xml:space="preserve">,</w:t>
      </w:r>
      <w:r>
        <w:t xml:space="preserve"> </w:t>
      </w:r>
      <w:r>
        <w:t xml:space="preserve">‘</w:t>
      </w:r>
      <w:r>
        <w:t xml:space="preserve">AMR gene carriage, bile acids, SCFAs</w:t>
      </w:r>
      <w:r>
        <w:t xml:space="preserve">’</w:t>
      </w:r>
      <w:r>
        <w:t xml:space="preserve">. Tier 3 (pale orange): labelled</w:t>
      </w:r>
      <w:r>
        <w:t xml:space="preserve"> </w:t>
      </w:r>
      <w:r>
        <w:t xml:space="preserve">‘</w:t>
      </w:r>
      <w:r>
        <w:t xml:space="preserve">Controlled Interventional Evidence</w:t>
      </w:r>
      <w:r>
        <w:t xml:space="preserve">’</w:t>
      </w:r>
      <w:r>
        <w:t xml:space="preserve"> </w:t>
      </w:r>
      <w:r>
        <w:t xml:space="preserve">with sub-labels</w:t>
      </w:r>
      <w:r>
        <w:t xml:space="preserve"> </w:t>
      </w:r>
      <w:r>
        <w:t xml:space="preserve">‘</w:t>
      </w:r>
      <w:r>
        <w:t xml:space="preserve">Longitudinal / randomised design</w:t>
      </w:r>
      <w:r>
        <w:t xml:space="preserve">’</w:t>
      </w:r>
      <w:r>
        <w:t xml:space="preserve">,</w:t>
      </w:r>
      <w:r>
        <w:t xml:space="preserve"> </w:t>
      </w:r>
      <w:r>
        <w:t xml:space="preserve">‘</w:t>
      </w:r>
      <w:r>
        <w:t xml:space="preserve">Pre-specified clinical or production endpoint</w:t>
      </w:r>
      <w:r>
        <w:t xml:space="preserve">’</w:t>
      </w:r>
      <w:r>
        <w:t xml:space="preserve">,</w:t>
      </w:r>
      <w:r>
        <w:t xml:space="preserve"> </w:t>
      </w:r>
      <w:r>
        <w:t xml:space="preserve">‘</w:t>
      </w:r>
      <w:r>
        <w:t xml:space="preserve">Strain-level engraftment tracking</w:t>
      </w:r>
      <w:r>
        <w:t xml:space="preserve">’</w:t>
      </w:r>
      <w:r>
        <w:t xml:space="preserve">. Tier 4 (top, narrowest, pale red): labelled</w:t>
      </w:r>
      <w:r>
        <w:t xml:space="preserve"> </w:t>
      </w:r>
      <w:r>
        <w:t xml:space="preserve">‘</w:t>
      </w:r>
      <w:r>
        <w:t xml:space="preserve">Regulated Therapeutic or Diagnostic Product</w:t>
      </w:r>
      <w:r>
        <w:t xml:space="preserve">’</w:t>
      </w:r>
      <w:r>
        <w:t xml:space="preserve"> </w:t>
      </w:r>
      <w:r>
        <w:t xml:space="preserve">with sub-labels</w:t>
      </w:r>
      <w:r>
        <w:t xml:space="preserve"> </w:t>
      </w:r>
      <w:r>
        <w:t xml:space="preserve">‘</w:t>
      </w:r>
      <w:r>
        <w:t xml:space="preserve">Defined indication</w:t>
      </w:r>
      <w:r>
        <w:t xml:space="preserve">’</w:t>
      </w:r>
      <w:r>
        <w:t xml:space="preserve">,</w:t>
      </w:r>
      <w:r>
        <w:t xml:space="preserve"> </w:t>
      </w:r>
      <w:r>
        <w:t xml:space="preserve">‘</w:t>
      </w:r>
      <w:r>
        <w:t xml:space="preserve">Manufacturing consistency</w:t>
      </w:r>
      <w:r>
        <w:t xml:space="preserve">’</w:t>
      </w:r>
      <w:r>
        <w:t xml:space="preserve">,</w:t>
      </w:r>
      <w:r>
        <w:t xml:space="preserve"> </w:t>
      </w:r>
      <w:r>
        <w:t xml:space="preserve">‘</w:t>
      </w:r>
      <w:r>
        <w:t xml:space="preserve">Clinical validity + utility</w:t>
      </w:r>
      <w:r>
        <w:t xml:space="preserve">’</w:t>
      </w:r>
      <w:r>
        <w:t xml:space="preserve">. Arrows on the right side of the pyramid show upward progression labelled</w:t>
      </w:r>
      <w:r>
        <w:t xml:space="preserve"> </w:t>
      </w:r>
      <w:r>
        <w:t xml:space="preserve">‘</w:t>
      </w:r>
      <w:r>
        <w:t xml:space="preserve">increasing evidence standard</w:t>
      </w:r>
      <w:r>
        <w:t xml:space="preserve">’</w:t>
      </w:r>
      <w:r>
        <w:t xml:space="preserve">. On the left, smaller arrows point left labelled with example veterinary applications at each tier: Tier 1 =</w:t>
      </w:r>
      <w:r>
        <w:t xml:space="preserve"> </w:t>
      </w:r>
      <w:r>
        <w:t xml:space="preserve">‘</w:t>
      </w:r>
      <w:r>
        <w:t xml:space="preserve">Discovery cohorts; AMR surveillance</w:t>
      </w:r>
      <w:r>
        <w:t xml:space="preserve">’</w:t>
      </w:r>
      <w:r>
        <w:t xml:space="preserve">; Tier 2 =</w:t>
      </w:r>
      <w:r>
        <w:t xml:space="preserve"> </w:t>
      </w:r>
      <w:r>
        <w:t xml:space="preserve">‘</w:t>
      </w:r>
      <w:r>
        <w:t xml:space="preserve">Canine bile acid profiling; rumen multi-omics; equine AAD metabolomics</w:t>
      </w:r>
      <w:r>
        <w:t xml:space="preserve">’</w:t>
      </w:r>
      <w:r>
        <w:t xml:space="preserve">; Tier 3 =</w:t>
      </w:r>
      <w:r>
        <w:t xml:space="preserve"> </w:t>
      </w:r>
      <w:r>
        <w:t xml:space="preserve">‘</w:t>
      </w:r>
      <w:r>
        <w:t xml:space="preserve">FMT RCTs in dogs; poultry synbiotic challenge trials; engineered L. reuteri in broilers</w:t>
      </w:r>
      <w:r>
        <w:t xml:space="preserve">’</w:t>
      </w:r>
      <w:r>
        <w:t xml:space="preserve">; Tier 4 =</w:t>
      </w:r>
      <w:r>
        <w:t xml:space="preserve"> </w:t>
      </w:r>
      <w:r>
        <w:t xml:space="preserve">‘</w:t>
      </w:r>
      <w:r>
        <w:t xml:space="preserve">Human: REBYOTA, VOWST, VE303; Veterinary: in development</w:t>
      </w:r>
      <w:r>
        <w:t xml:space="preserve">’</w:t>
      </w:r>
      <w:r>
        <w:t xml:space="preserve">. White background, professional scientific illustration style, no decorative elements.</w:t>
      </w:r>
      <w:r>
        <w:t xml:space="preserve">”</w:t>
      </w:r>
    </w:p>
    <w:p>
      <w:r>
        <w:pict>
          <v:rect style="width:0;height:1.5pt" o:hralign="center" o:hrstd="t" o:hr="t"/>
        </w:pict>
      </w:r>
    </w:p>
    <w:bookmarkEnd w:id="96"/>
    <w:bookmarkStart w:id="97" w:name="figure-2"/>
    <w:p>
      <w:pPr>
        <w:pStyle w:val="Heading3"/>
      </w:pPr>
      <w:r>
        <w:t xml:space="preserve">Figure 2</w:t>
      </w:r>
    </w:p>
    <w:p>
      <w:pPr>
        <w:pStyle w:val="FirstParagraph"/>
      </w:pPr>
      <w:r>
        <w:rPr>
          <w:bCs/>
          <w:b/>
        </w:rPr>
        <w:t xml:space="preserve">Caption:</w:t>
      </w:r>
      <w:r>
        <w:t xml:space="preserve"> </w:t>
      </w:r>
      <w:r>
        <w:t xml:space="preserve">One Health transmission network for key zoonotic microbes and antimicrobial resistance genes between companion animals, food animals, humans, and the environment. Nodes represent each compartment; directional arrows represent documented or strongly suspected transmission routes based on whole-genome sequencing or metagenomics evidence. Arrow weight reflects relative evidence strength. Key organisms annotated include:</w:t>
      </w:r>
      <w:r>
        <w:t xml:space="preserve"> </w:t>
      </w:r>
      <w:r>
        <w:rPr>
          <w:iCs/>
          <w:i/>
        </w:rPr>
        <w:t xml:space="preserve">Clostridioides difficile</w:t>
      </w:r>
      <w:r>
        <w:t xml:space="preserve"> </w:t>
      </w:r>
      <w:r>
        <w:t xml:space="preserve">RT078 (food animals ↔ humans), MRSA CC398 (pigs → farm workers, pets ↔ owners), ESBL</w:t>
      </w:r>
      <w:r>
        <w:t xml:space="preserve"> </w:t>
      </w:r>
      <w:r>
        <w:rPr>
          <w:iCs/>
          <w:i/>
        </w:rPr>
        <w:t xml:space="preserve">E. coli</w:t>
      </w:r>
      <w:r>
        <w:t xml:space="preserve"> </w:t>
      </w:r>
      <w:r>
        <w:t xml:space="preserve">ST131 (companion animals ↔ humans; food chain), MCR-1</w:t>
      </w:r>
      <w:r>
        <w:t xml:space="preserve"> </w:t>
      </w:r>
      <w:r>
        <w:rPr>
          <w:iCs/>
          <w:i/>
        </w:rPr>
        <w:t xml:space="preserve">E. coli</w:t>
      </w:r>
      <w:r>
        <w:t xml:space="preserve"> </w:t>
      </w:r>
      <w:r>
        <w:t xml:space="preserve">(livestock → environment → humans), NHPH</w:t>
      </w:r>
      <w:r>
        <w:t xml:space="preserve"> </w:t>
      </w:r>
      <w:r>
        <w:rPr>
          <w:iCs/>
          <w:i/>
        </w:rPr>
        <w:t xml:space="preserve">Helicobacter</w:t>
      </w:r>
      <w:r>
        <w:t xml:space="preserve"> </w:t>
      </w:r>
      <w:r>
        <w:t xml:space="preserve">(pets → humans plausible),</w:t>
      </w:r>
      <w:r>
        <w:t xml:space="preserve"> </w:t>
      </w:r>
      <w:r>
        <w:rPr>
          <w:iCs/>
          <w:i/>
        </w:rPr>
        <w:t xml:space="preserve">Streptococcus suis</w:t>
      </w:r>
      <w:r>
        <w:t xml:space="preserve"> </w:t>
      </w:r>
      <w:r>
        <w:t xml:space="preserve">(pigs → occupational human exposure), and conjugative plasmid-borne AMR genes (aquaculture ↔ waterways ↔ human gut).</w:t>
      </w:r>
    </w:p>
    <w:p>
      <w:pPr>
        <w:pStyle w:val="BodyText"/>
      </w:pPr>
      <w:r>
        <w:rPr>
          <w:bCs/>
          <w:b/>
        </w:rPr>
        <w:t xml:space="preserve">GPT-image2 prompt:</w:t>
      </w:r>
      <w:r>
        <w:t xml:space="preserve"> </w:t>
      </w:r>
      <w:r>
        <w:t xml:space="preserve">“</w:t>
      </w:r>
      <w:r>
        <w:t xml:space="preserve">Create a professional One Health transmission network diagram for a veterinary science review article. The diagram is a circular network with five large nodes arranged in a pentagon layout:</w:t>
      </w:r>
      <w:r>
        <w:t xml:space="preserve"> </w:t>
      </w:r>
      <w:r>
        <w:t xml:space="preserve">‘</w:t>
      </w:r>
      <w:r>
        <w:t xml:space="preserve">Companion Animals</w:t>
      </w:r>
      <w:r>
        <w:t xml:space="preserve">’</w:t>
      </w:r>
      <w:r>
        <w:t xml:space="preserve"> </w:t>
      </w:r>
      <w:r>
        <w:t xml:space="preserve">(top left, illustrated with a small dog and cat icon),</w:t>
      </w:r>
      <w:r>
        <w:t xml:space="preserve"> </w:t>
      </w:r>
      <w:r>
        <w:t xml:space="preserve">‘</w:t>
      </w:r>
      <w:r>
        <w:t xml:space="preserve">Food Animals</w:t>
      </w:r>
      <w:r>
        <w:t xml:space="preserve">’</w:t>
      </w:r>
      <w:r>
        <w:t xml:space="preserve"> </w:t>
      </w:r>
      <w:r>
        <w:t xml:space="preserve">(top right, illustrated with pig and cow icons),</w:t>
      </w:r>
      <w:r>
        <w:t xml:space="preserve"> </w:t>
      </w:r>
      <w:r>
        <w:t xml:space="preserve">‘</w:t>
      </w:r>
      <w:r>
        <w:t xml:space="preserve">Humans</w:t>
      </w:r>
      <w:r>
        <w:t xml:space="preserve">’</w:t>
      </w:r>
      <w:r>
        <w:t xml:space="preserve"> </w:t>
      </w:r>
      <w:r>
        <w:t xml:space="preserve">(bottom centre, illustrated with a human silhouette),</w:t>
      </w:r>
      <w:r>
        <w:t xml:space="preserve"> </w:t>
      </w:r>
      <w:r>
        <w:t xml:space="preserve">‘</w:t>
      </w:r>
      <w:r>
        <w:t xml:space="preserve">Environment / Water</w:t>
      </w:r>
      <w:r>
        <w:t xml:space="preserve">’</w:t>
      </w:r>
      <w:r>
        <w:t xml:space="preserve"> </w:t>
      </w:r>
      <w:r>
        <w:t xml:space="preserve">(bottom left, illustrated with a water droplet and soil icon), and</w:t>
      </w:r>
      <w:r>
        <w:t xml:space="preserve"> </w:t>
      </w:r>
      <w:r>
        <w:t xml:space="preserve">‘</w:t>
      </w:r>
      <w:r>
        <w:t xml:space="preserve">Wildlife</w:t>
      </w:r>
      <w:r>
        <w:t xml:space="preserve">’</w:t>
      </w:r>
      <w:r>
        <w:t xml:space="preserve"> </w:t>
      </w:r>
      <w:r>
        <w:t xml:space="preserve">(bottom right, illustrated with a bird icon). Directed arrows (with arrowheads) connect the nodes; arrow thickness reflects evidence strength (thicker = stronger evidence). Key annotations on arrows: between</w:t>
      </w:r>
      <w:r>
        <w:t xml:space="preserve"> </w:t>
      </w:r>
      <w:r>
        <w:t xml:space="preserve">‘</w:t>
      </w:r>
      <w:r>
        <w:t xml:space="preserve">Companion Animals</w:t>
      </w:r>
      <w:r>
        <w:t xml:space="preserve">’</w:t>
      </w:r>
      <w:r>
        <w:t xml:space="preserve"> </w:t>
      </w:r>
      <w:r>
        <w:t xml:space="preserve">and</w:t>
      </w:r>
      <w:r>
        <w:t xml:space="preserve"> </w:t>
      </w:r>
      <w:r>
        <w:t xml:space="preserve">‘</w:t>
      </w:r>
      <w:r>
        <w:t xml:space="preserve">Humans</w:t>
      </w:r>
      <w:r>
        <w:t xml:space="preserve">’</w:t>
      </w:r>
      <w:r>
        <w:t xml:space="preserve">:</w:t>
      </w:r>
      <w:r>
        <w:t xml:space="preserve"> </w:t>
      </w:r>
      <w:r>
        <w:t xml:space="preserve">‘</w:t>
      </w:r>
      <w:r>
        <w:t xml:space="preserve">MRSA/MRSP (bidirectional)</w:t>
      </w:r>
      <w:r>
        <w:t xml:space="preserve">’</w:t>
      </w:r>
      <w:r>
        <w:t xml:space="preserve">,</w:t>
      </w:r>
      <w:r>
        <w:t xml:space="preserve"> </w:t>
      </w:r>
      <w:r>
        <w:t xml:space="preserve">‘</w:t>
      </w:r>
      <w:r>
        <w:t xml:space="preserve">NHPH Helicobacter (pets→humans)</w:t>
      </w:r>
      <w:r>
        <w:t xml:space="preserve">’</w:t>
      </w:r>
      <w:r>
        <w:t xml:space="preserve">,</w:t>
      </w:r>
      <w:r>
        <w:t xml:space="preserve"> </w:t>
      </w:r>
      <w:r>
        <w:t xml:space="preserve">‘</w:t>
      </w:r>
      <w:r>
        <w:t xml:space="preserve">ESBL E. coli ST131 (bidirectional)</w:t>
      </w:r>
      <w:r>
        <w:t xml:space="preserve">’</w:t>
      </w:r>
      <w:r>
        <w:t xml:space="preserve">; between</w:t>
      </w:r>
      <w:r>
        <w:t xml:space="preserve"> </w:t>
      </w:r>
      <w:r>
        <w:t xml:space="preserve">‘</w:t>
      </w:r>
      <w:r>
        <w:t xml:space="preserve">Food Animals</w:t>
      </w:r>
      <w:r>
        <w:t xml:space="preserve">’</w:t>
      </w:r>
      <w:r>
        <w:t xml:space="preserve"> </w:t>
      </w:r>
      <w:r>
        <w:t xml:space="preserve">and</w:t>
      </w:r>
      <w:r>
        <w:t xml:space="preserve"> </w:t>
      </w:r>
      <w:r>
        <w:t xml:space="preserve">‘</w:t>
      </w:r>
      <w:r>
        <w:t xml:space="preserve">Humans</w:t>
      </w:r>
      <w:r>
        <w:t xml:space="preserve">’</w:t>
      </w:r>
      <w:r>
        <w:t xml:space="preserve">:</w:t>
      </w:r>
      <w:r>
        <w:t xml:space="preserve"> </w:t>
      </w:r>
      <w:r>
        <w:t xml:space="preserve">‘</w:t>
      </w:r>
      <w:r>
        <w:t xml:space="preserve">C. difficile RT078</w:t>
      </w:r>
      <w:r>
        <w:t xml:space="preserve">’</w:t>
      </w:r>
      <w:r>
        <w:t xml:space="preserve">,</w:t>
      </w:r>
      <w:r>
        <w:t xml:space="preserve"> </w:t>
      </w:r>
      <w:r>
        <w:t xml:space="preserve">‘</w:t>
      </w:r>
      <w:r>
        <w:t xml:space="preserve">S. suis (occupational)</w:t>
      </w:r>
      <w:r>
        <w:t xml:space="preserve">’</w:t>
      </w:r>
      <w:r>
        <w:t xml:space="preserve">,</w:t>
      </w:r>
      <w:r>
        <w:t xml:space="preserve"> </w:t>
      </w:r>
      <w:r>
        <w:t xml:space="preserve">‘</w:t>
      </w:r>
      <w:r>
        <w:t xml:space="preserve">MCR-1 E. coli</w:t>
      </w:r>
      <w:r>
        <w:t xml:space="preserve">’</w:t>
      </w:r>
      <w:r>
        <w:t xml:space="preserve">,</w:t>
      </w:r>
      <w:r>
        <w:t xml:space="preserve"> </w:t>
      </w:r>
      <w:r>
        <w:t xml:space="preserve">‘</w:t>
      </w:r>
      <w:r>
        <w:t xml:space="preserve">ESBL/CRE</w:t>
      </w:r>
      <w:r>
        <w:t xml:space="preserve">’</w:t>
      </w:r>
      <w:r>
        <w:t xml:space="preserve">; between</w:t>
      </w:r>
      <w:r>
        <w:t xml:space="preserve"> </w:t>
      </w:r>
      <w:r>
        <w:t xml:space="preserve">‘</w:t>
      </w:r>
      <w:r>
        <w:t xml:space="preserve">Food Animals</w:t>
      </w:r>
      <w:r>
        <w:t xml:space="preserve">’</w:t>
      </w:r>
      <w:r>
        <w:t xml:space="preserve"> </w:t>
      </w:r>
      <w:r>
        <w:t xml:space="preserve">and</w:t>
      </w:r>
      <w:r>
        <w:t xml:space="preserve"> </w:t>
      </w:r>
      <w:r>
        <w:t xml:space="preserve">‘</w:t>
      </w:r>
      <w:r>
        <w:t xml:space="preserve">Environment / Water</w:t>
      </w:r>
      <w:r>
        <w:t xml:space="preserve">’</w:t>
      </w:r>
      <w:r>
        <w:t xml:space="preserve">:</w:t>
      </w:r>
      <w:r>
        <w:t xml:space="preserve"> </w:t>
      </w:r>
      <w:r>
        <w:t xml:space="preserve">‘</w:t>
      </w:r>
      <w:r>
        <w:t xml:space="preserve">Resistome (manure, runoff)</w:t>
      </w:r>
      <w:r>
        <w:t xml:space="preserve">’</w:t>
      </w:r>
      <w:r>
        <w:t xml:space="preserve">,</w:t>
      </w:r>
      <w:r>
        <w:t xml:space="preserve"> </w:t>
      </w:r>
      <w:r>
        <w:t xml:space="preserve">‘</w:t>
      </w:r>
      <w:r>
        <w:t xml:space="preserve">Conjugative plasmids</w:t>
      </w:r>
      <w:r>
        <w:t xml:space="preserve">’</w:t>
      </w:r>
      <w:r>
        <w:t xml:space="preserve">; between</w:t>
      </w:r>
      <w:r>
        <w:t xml:space="preserve"> </w:t>
      </w:r>
      <w:r>
        <w:t xml:space="preserve">‘</w:t>
      </w:r>
      <w:r>
        <w:t xml:space="preserve">Environment / Water</w:t>
      </w:r>
      <w:r>
        <w:t xml:space="preserve">’</w:t>
      </w:r>
      <w:r>
        <w:t xml:space="preserve"> </w:t>
      </w:r>
      <w:r>
        <w:t xml:space="preserve">and</w:t>
      </w:r>
      <w:r>
        <w:t xml:space="preserve"> </w:t>
      </w:r>
      <w:r>
        <w:t xml:space="preserve">‘</w:t>
      </w:r>
      <w:r>
        <w:t xml:space="preserve">Humans</w:t>
      </w:r>
      <w:r>
        <w:t xml:space="preserve">’</w:t>
      </w:r>
      <w:r>
        <w:t xml:space="preserve">:</w:t>
      </w:r>
      <w:r>
        <w:t xml:space="preserve"> </w:t>
      </w:r>
      <w:r>
        <w:t xml:space="preserve">‘</w:t>
      </w:r>
      <w:r>
        <w:t xml:space="preserve">AMR genes (water, food chain)</w:t>
      </w:r>
      <w:r>
        <w:t xml:space="preserve">’</w:t>
      </w:r>
      <w:r>
        <w:t xml:space="preserve">; between</w:t>
      </w:r>
      <w:r>
        <w:t xml:space="preserve"> </w:t>
      </w:r>
      <w:r>
        <w:t xml:space="preserve">‘</w:t>
      </w:r>
      <w:r>
        <w:t xml:space="preserve">Aquaculture</w:t>
      </w:r>
      <w:r>
        <w:t xml:space="preserve">’</w:t>
      </w:r>
      <w:r>
        <w:t xml:space="preserve"> </w:t>
      </w:r>
      <w:r>
        <w:t xml:space="preserve">(add a small blue fish node near Environment):</w:t>
      </w:r>
      <w:r>
        <w:t xml:space="preserve"> </w:t>
      </w:r>
      <w:r>
        <w:t xml:space="preserve">‘</w:t>
      </w:r>
      <w:r>
        <w:t xml:space="preserve">Resistome via effluent</w:t>
      </w:r>
      <w:r>
        <w:t xml:space="preserve">’</w:t>
      </w:r>
      <w:r>
        <w:t xml:space="preserve">. Colour scheme: cool blues and greens with red arrows for bidirectional high-risk links. White background, clear sans-serif font labels, professional scientific figure style.</w:t>
      </w:r>
      <w:r>
        <w:t xml:space="preserve">”</w:t>
      </w:r>
    </w:p>
    <w:p>
      <w:r>
        <w:pict>
          <v:rect style="width:0;height:1.5pt" o:hralign="center" o:hrstd="t" o:hr="t"/>
        </w:pict>
      </w:r>
    </w:p>
    <w:bookmarkEnd w:id="97"/>
    <w:bookmarkStart w:id="98" w:name="figure-3"/>
    <w:p>
      <w:pPr>
        <w:pStyle w:val="Heading3"/>
      </w:pPr>
      <w:r>
        <w:t xml:space="preserve">Figure 3</w:t>
      </w:r>
    </w:p>
    <w:p>
      <w:pPr>
        <w:pStyle w:val="FirstParagraph"/>
      </w:pPr>
      <w:r>
        <w:rPr>
          <w:bCs/>
          <w:b/>
        </w:rPr>
        <w:t xml:space="preserve">Caption:</w:t>
      </w:r>
      <w:r>
        <w:t xml:space="preserve"> </w:t>
      </w:r>
      <w:r>
        <w:t xml:space="preserve">Comparative evidence landscape for microbiome-based interventions in veterinary and human medicine. A horizontal evidence-strength chart (similar to a Cochrane-style summary) rates the quality of evidence for each intervention–indication combination across six veterinary contexts and three human reference points. Evidence levels: A = randomised controlled trials, level 1; B = controlled cohort or case-control, level 2; C = case series or observational, level 3; D = case reports or expert opinion, level 4; NT = not tested. Human reference points (FMT for CDI, SER-109/VOWST for CDI, defined consortia/VE303 for CDI) are shown as benchmark comparators.</w:t>
      </w:r>
    </w:p>
    <w:p>
      <w:pPr>
        <w:pStyle w:val="BodyText"/>
      </w:pPr>
      <w:r>
        <w:rPr>
          <w:bCs/>
          <w:b/>
        </w:rPr>
        <w:t xml:space="preserve">GPT-image2 prompt:</w:t>
      </w:r>
      <w:r>
        <w:t xml:space="preserve"> </w:t>
      </w:r>
      <w:r>
        <w:t xml:space="preserve">“</w:t>
      </w:r>
      <w:r>
        <w:t xml:space="preserve">Create a professional heat-map style evidence-strength comparison table for a veterinary review article. Rows represent intervention types:</w:t>
      </w:r>
      <w:r>
        <w:t xml:space="preserve"> </w:t>
      </w:r>
      <w:r>
        <w:t xml:space="preserve">‘</w:t>
      </w:r>
      <w:r>
        <w:t xml:space="preserve">Diet modification</w:t>
      </w:r>
      <w:r>
        <w:t xml:space="preserve">’</w:t>
      </w:r>
      <w:r>
        <w:t xml:space="preserve">,</w:t>
      </w:r>
      <w:r>
        <w:t xml:space="preserve"> </w:t>
      </w:r>
      <w:r>
        <w:t xml:space="preserve">‘</w:t>
      </w:r>
      <w:r>
        <w:t xml:space="preserve">Prebiotics</w:t>
      </w:r>
      <w:r>
        <w:t xml:space="preserve">’</w:t>
      </w:r>
      <w:r>
        <w:t xml:space="preserve">,</w:t>
      </w:r>
      <w:r>
        <w:t xml:space="preserve"> </w:t>
      </w:r>
      <w:r>
        <w:t xml:space="preserve">‘</w:t>
      </w:r>
      <w:r>
        <w:t xml:space="preserve">Probiotics</w:t>
      </w:r>
      <w:r>
        <w:t xml:space="preserve">’</w:t>
      </w:r>
      <w:r>
        <w:t xml:space="preserve">,</w:t>
      </w:r>
      <w:r>
        <w:t xml:space="preserve"> </w:t>
      </w:r>
      <w:r>
        <w:t xml:space="preserve">‘</w:t>
      </w:r>
      <w:r>
        <w:t xml:space="preserve">Synbiotics</w:t>
      </w:r>
      <w:r>
        <w:t xml:space="preserve">’</w:t>
      </w:r>
      <w:r>
        <w:t xml:space="preserve">,</w:t>
      </w:r>
      <w:r>
        <w:t xml:space="preserve"> </w:t>
      </w:r>
      <w:r>
        <w:t xml:space="preserve">‘</w:t>
      </w:r>
      <w:r>
        <w:t xml:space="preserve">FMT (whole stool)</w:t>
      </w:r>
      <w:r>
        <w:t xml:space="preserve">’</w:t>
      </w:r>
      <w:r>
        <w:t xml:space="preserve">,</w:t>
      </w:r>
      <w:r>
        <w:t xml:space="preserve"> </w:t>
      </w:r>
      <w:r>
        <w:t xml:space="preserve">‘</w:t>
      </w:r>
      <w:r>
        <w:t xml:space="preserve">Defined microbial consortia / LBPs</w:t>
      </w:r>
      <w:r>
        <w:t xml:space="preserve">’</w:t>
      </w:r>
      <w:r>
        <w:t xml:space="preserve">,</w:t>
      </w:r>
      <w:r>
        <w:t xml:space="preserve"> </w:t>
      </w:r>
      <w:r>
        <w:t xml:space="preserve">‘</w:t>
      </w:r>
      <w:r>
        <w:t xml:space="preserve">Phage therapy</w:t>
      </w:r>
      <w:r>
        <w:t xml:space="preserve">’</w:t>
      </w:r>
      <w:r>
        <w:t xml:space="preserve">,</w:t>
      </w:r>
      <w:r>
        <w:t xml:space="preserve"> </w:t>
      </w:r>
      <w:r>
        <w:t xml:space="preserve">‘</w:t>
      </w:r>
      <w:r>
        <w:t xml:space="preserve">Microbiome diagnostics</w:t>
      </w:r>
      <w:r>
        <w:t xml:space="preserve">’</w:t>
      </w:r>
      <w:r>
        <w:t xml:space="preserve">. Columns represent species/indication pairs:</w:t>
      </w:r>
      <w:r>
        <w:t xml:space="preserve"> </w:t>
      </w:r>
      <w:r>
        <w:t xml:space="preserve">‘</w:t>
      </w:r>
      <w:r>
        <w:t xml:space="preserve">Dog (chronic enteropathy)</w:t>
      </w:r>
      <w:r>
        <w:t xml:space="preserve">’</w:t>
      </w:r>
      <w:r>
        <w:t xml:space="preserve">,</w:t>
      </w:r>
      <w:r>
        <w:t xml:space="preserve"> </w:t>
      </w:r>
      <w:r>
        <w:t xml:space="preserve">‘</w:t>
      </w:r>
      <w:r>
        <w:t xml:space="preserve">Cat (chronic enteropathy)</w:t>
      </w:r>
      <w:r>
        <w:t xml:space="preserve">’</w:t>
      </w:r>
      <w:r>
        <w:t xml:space="preserve">,</w:t>
      </w:r>
      <w:r>
        <w:t xml:space="preserve"> </w:t>
      </w:r>
      <w:r>
        <w:t xml:space="preserve">‘</w:t>
      </w:r>
      <w:r>
        <w:t xml:space="preserve">Horse (AAD/colitis)</w:t>
      </w:r>
      <w:r>
        <w:t xml:space="preserve">’</w:t>
      </w:r>
      <w:r>
        <w:t xml:space="preserve">,</w:t>
      </w:r>
      <w:r>
        <w:t xml:space="preserve"> </w:t>
      </w:r>
      <w:r>
        <w:t xml:space="preserve">‘</w:t>
      </w:r>
      <w:r>
        <w:t xml:space="preserve">Ruminant (feed efficiency)</w:t>
      </w:r>
      <w:r>
        <w:t xml:space="preserve">’</w:t>
      </w:r>
      <w:r>
        <w:t xml:space="preserve">,</w:t>
      </w:r>
      <w:r>
        <w:t xml:space="preserve"> </w:t>
      </w:r>
      <w:r>
        <w:t xml:space="preserve">‘</w:t>
      </w:r>
      <w:r>
        <w:t xml:space="preserve">Poultry (NE / FCR)</w:t>
      </w:r>
      <w:r>
        <w:t xml:space="preserve">’</w:t>
      </w:r>
      <w:r>
        <w:t xml:space="preserve">,</w:t>
      </w:r>
      <w:r>
        <w:t xml:space="preserve"> </w:t>
      </w:r>
      <w:r>
        <w:t xml:space="preserve">‘</w:t>
      </w:r>
      <w:r>
        <w:t xml:space="preserve">Aquaculture (disease resistance)</w:t>
      </w:r>
      <w:r>
        <w:t xml:space="preserve">’</w:t>
      </w:r>
      <w:r>
        <w:t xml:space="preserve">, then a dividing line, then three human reference columns:</w:t>
      </w:r>
      <w:r>
        <w:t xml:space="preserve"> </w:t>
      </w:r>
      <w:r>
        <w:t xml:space="preserve">‘</w:t>
      </w:r>
      <w:r>
        <w:t xml:space="preserve">Human (FMT-CDI)</w:t>
      </w:r>
      <w:r>
        <w:t xml:space="preserve">’</w:t>
      </w:r>
      <w:r>
        <w:t xml:space="preserve">,</w:t>
      </w:r>
      <w:r>
        <w:t xml:space="preserve"> </w:t>
      </w:r>
      <w:r>
        <w:t xml:space="preserve">‘</w:t>
      </w:r>
      <w:r>
        <w:t xml:space="preserve">Human (VOWST-CDI)</w:t>
      </w:r>
      <w:r>
        <w:t xml:space="preserve">’</w:t>
      </w:r>
      <w:r>
        <w:t xml:space="preserve">,</w:t>
      </w:r>
      <w:r>
        <w:t xml:space="preserve"> </w:t>
      </w:r>
      <w:r>
        <w:t xml:space="preserve">‘</w:t>
      </w:r>
      <w:r>
        <w:t xml:space="preserve">Human (VE303-CDI)</w:t>
      </w:r>
      <w:r>
        <w:t xml:space="preserve">’</w:t>
      </w:r>
      <w:r>
        <w:t xml:space="preserve">. Each cell is filled with a colour-coded circle: dark green = Level A (RCT); medium green = Level B (controlled cohort); yellow = Level C (case series/observational); orange = Level D (expert opinion/case report); grey = NT (not tested). A legend in the bottom-right shows colour meanings. The three human reference columns have a slightly different background shade (light grey) to show they are benchmark comparators. Title at top:</w:t>
      </w:r>
      <w:r>
        <w:t xml:space="preserve"> </w:t>
      </w:r>
      <w:r>
        <w:t xml:space="preserve">‘</w:t>
      </w:r>
      <w:r>
        <w:t xml:space="preserve">Evidence Landscape: Microbiome Interventions in Veterinary vs. Human Medicine</w:t>
      </w:r>
      <w:r>
        <w:t xml:space="preserve">’</w:t>
      </w:r>
      <w:r>
        <w:t xml:space="preserve">. Professional scientific figure, white background, clean grid lines, sans-serif font.</w:t>
      </w:r>
      <w:r>
        <w:t xml:space="preserve">”</w:t>
      </w:r>
    </w:p>
    <w:p>
      <w:r>
        <w:pict>
          <v:rect style="width:0;height:1.5pt" o:hralign="center" o:hrstd="t" o:hr="t"/>
        </w:pict>
      </w:r>
    </w:p>
    <w:bookmarkEnd w:id="98"/>
    <w:bookmarkEnd w:id="99"/>
    <w:bookmarkStart w:id="100" w:name="author-contributions"/>
    <w:p>
      <w:pPr>
        <w:pStyle w:val="Heading2"/>
      </w:pPr>
      <w:r>
        <w:t xml:space="preserve">Author Contributions</w:t>
      </w:r>
    </w:p>
    <w:p>
      <w:pPr>
        <w:pStyle w:val="FirstParagraph"/>
      </w:pPr>
      <w:r>
        <w:t xml:space="preserve">Conceptualisation: all authors. Methodology (literature search strategy): all authors. Writing—original draft preparation: all authors. Writing—review and editing: all authors. All authors have read and agreed to the published version of the manuscript.</w:t>
      </w:r>
    </w:p>
    <w:bookmarkEnd w:id="100"/>
    <w:bookmarkStart w:id="101" w:name="funding"/>
    <w:p>
      <w:pPr>
        <w:pStyle w:val="Heading2"/>
      </w:pPr>
      <w:r>
        <w:t xml:space="preserve">Funding</w:t>
      </w:r>
    </w:p>
    <w:p>
      <w:pPr>
        <w:pStyle w:val="FirstParagraph"/>
      </w:pPr>
      <w:r>
        <w:t xml:space="preserve">This research received no external funding.</w:t>
      </w:r>
    </w:p>
    <w:bookmarkEnd w:id="101"/>
    <w:bookmarkStart w:id="102" w:name="institutional-review-board-statement"/>
    <w:p>
      <w:pPr>
        <w:pStyle w:val="Heading2"/>
      </w:pPr>
      <w:r>
        <w:t xml:space="preserve">Institutional Review Board Statement</w:t>
      </w:r>
    </w:p>
    <w:p>
      <w:pPr>
        <w:pStyle w:val="FirstParagraph"/>
      </w:pPr>
      <w:r>
        <w:t xml:space="preserve">Not applicable.</w:t>
      </w:r>
    </w:p>
    <w:bookmarkEnd w:id="102"/>
    <w:bookmarkStart w:id="103" w:name="informed-consent-statement"/>
    <w:p>
      <w:pPr>
        <w:pStyle w:val="Heading2"/>
      </w:pPr>
      <w:r>
        <w:t xml:space="preserve">Informed Consent Statement</w:t>
      </w:r>
    </w:p>
    <w:p>
      <w:pPr>
        <w:pStyle w:val="FirstParagraph"/>
      </w:pPr>
      <w:r>
        <w:t xml:space="preserve">Not applicable.</w:t>
      </w:r>
    </w:p>
    <w:bookmarkEnd w:id="103"/>
    <w:bookmarkStart w:id="104" w:name="data-availability-statement"/>
    <w:p>
      <w:pPr>
        <w:pStyle w:val="Heading2"/>
      </w:pPr>
      <w:r>
        <w:t xml:space="preserve">Data Availability Statement</w:t>
      </w:r>
    </w:p>
    <w:p>
      <w:pPr>
        <w:pStyle w:val="FirstParagraph"/>
      </w:pPr>
      <w:r>
        <w:t xml:space="preserve">No new data were generated or analysed in this study.</w:t>
      </w:r>
    </w:p>
    <w:bookmarkEnd w:id="104"/>
    <w:bookmarkStart w:id="105" w:name="conflicts-of-interest"/>
    <w:p>
      <w:pPr>
        <w:pStyle w:val="Heading2"/>
      </w:pPr>
      <w:r>
        <w:t xml:space="preserve">Conflicts of Interest</w:t>
      </w:r>
    </w:p>
    <w:p>
      <w:pPr>
        <w:pStyle w:val="FirstParagraph"/>
      </w:pPr>
      <w:r>
        <w:t xml:space="preserve">The authors declare no conflicts of interest.</w:t>
      </w:r>
    </w:p>
    <w:p>
      <w:r>
        <w:pict>
          <v:rect style="width:0;height:1.5pt" o:hralign="center" o:hrstd="t" o:hr="t"/>
        </w:pict>
      </w:r>
    </w:p>
    <w:bookmarkEnd w:id="105"/>
    <w:bookmarkStart w:id="106" w:name="references"/>
    <w:p>
      <w:pPr>
        <w:pStyle w:val="Heading2"/>
      </w:pPr>
      <w:r>
        <w:t xml:space="preserve">References</w:t>
      </w:r>
    </w:p>
    <w:p>
      <w:pPr>
        <w:numPr>
          <w:ilvl w:val="0"/>
          <w:numId w:val="1003"/>
        </w:numPr>
        <w:pStyle w:val="Compact"/>
      </w:pPr>
      <w:r>
        <w:t xml:space="preserve">Suchodolski JS, Markel ME, Garcia-Mazcorro JF, et al. The fecal microbiome in dogs with acute diarrhea and idiopathic inflammatory bowel disease.</w:t>
      </w:r>
      <w:r>
        <w:t xml:space="preserve"> </w:t>
      </w:r>
      <w:r>
        <w:rPr>
          <w:iCs/>
          <w:i/>
        </w:rPr>
        <w:t xml:space="preserve">PLoS One</w:t>
      </w:r>
      <w:r>
        <w:t xml:space="preserve">. 2012;7(12):e51907.</w:t>
      </w:r>
    </w:p>
    <w:p>
      <w:pPr>
        <w:numPr>
          <w:ilvl w:val="0"/>
          <w:numId w:val="1003"/>
        </w:numPr>
        <w:pStyle w:val="Compact"/>
      </w:pPr>
      <w:r>
        <w:t xml:space="preserve">Minamoto Y, Otoni CC, Steelman SM, et al. Alteration of the fecal microbiota and serum metabolite profiles in dogs with idiopathic inflammatory bowel disease.</w:t>
      </w:r>
      <w:r>
        <w:t xml:space="preserve"> </w:t>
      </w:r>
      <w:r>
        <w:rPr>
          <w:iCs/>
          <w:i/>
        </w:rPr>
        <w:t xml:space="preserve">Gut Microbes</w:t>
      </w:r>
      <w:r>
        <w:t xml:space="preserve">. 2015;6(1):33–47.</w:t>
      </w:r>
    </w:p>
    <w:p>
      <w:pPr>
        <w:numPr>
          <w:ilvl w:val="0"/>
          <w:numId w:val="1003"/>
        </w:numPr>
        <w:pStyle w:val="Compact"/>
      </w:pPr>
      <w:r>
        <w:t xml:space="preserve">Guard BC, Barr JW, Reddivari L, et al. Characterization of microbial dysbiosis and metabolomic changes in dogs with acute diarrhea.</w:t>
      </w:r>
      <w:r>
        <w:t xml:space="preserve"> </w:t>
      </w:r>
      <w:r>
        <w:rPr>
          <w:iCs/>
          <w:i/>
        </w:rPr>
        <w:t xml:space="preserve">PLoS One</w:t>
      </w:r>
      <w:r>
        <w:t xml:space="preserve">. 2015;10(5):e0127259.</w:t>
      </w:r>
    </w:p>
    <w:p>
      <w:pPr>
        <w:numPr>
          <w:ilvl w:val="0"/>
          <w:numId w:val="1003"/>
        </w:numPr>
        <w:pStyle w:val="Compact"/>
      </w:pPr>
      <w:r>
        <w:t xml:space="preserve">Honneffer JB, Minamoto Y, Suchodolski JS. Microbiota alterations in acute and chronic gastrointestinal inflammation of cats and dogs.</w:t>
      </w:r>
      <w:r>
        <w:t xml:space="preserve"> </w:t>
      </w:r>
      <w:r>
        <w:rPr>
          <w:iCs/>
          <w:i/>
        </w:rPr>
        <w:t xml:space="preserve">World J Gastroenterol</w:t>
      </w:r>
      <w:r>
        <w:t xml:space="preserve">. 2014;20(44):16489–16497.</w:t>
      </w:r>
    </w:p>
    <w:p>
      <w:pPr>
        <w:numPr>
          <w:ilvl w:val="0"/>
          <w:numId w:val="1003"/>
        </w:numPr>
        <w:pStyle w:val="Compact"/>
      </w:pPr>
      <w:r>
        <w:t xml:space="preserve">Sun J, Zhu L, Li Y, et al. Fecal resistome of high-performance pigs reveals gut-microbiome-based antimicrobial resistance transmission.</w:t>
      </w:r>
      <w:r>
        <w:t xml:space="preserve"> </w:t>
      </w:r>
      <w:r>
        <w:rPr>
          <w:iCs/>
          <w:i/>
        </w:rPr>
        <w:t xml:space="preserve">Microbiome</w:t>
      </w:r>
      <w:r>
        <w:t xml:space="preserve">. 2021;9(1):145.</w:t>
      </w:r>
    </w:p>
    <w:p>
      <w:pPr>
        <w:numPr>
          <w:ilvl w:val="0"/>
          <w:numId w:val="1003"/>
        </w:numPr>
        <w:pStyle w:val="Compact"/>
      </w:pPr>
      <w:r>
        <w:t xml:space="preserve">Munk P, Knudsen BE, Lukjancenko O, et al. Abundance and diversity of the faecal resistome in slaughter pigs and broilers in nine European countries.</w:t>
      </w:r>
      <w:r>
        <w:t xml:space="preserve"> </w:t>
      </w:r>
      <w:r>
        <w:rPr>
          <w:iCs/>
          <w:i/>
        </w:rPr>
        <w:t xml:space="preserve">Nat Microbiol</w:t>
      </w:r>
      <w:r>
        <w:t xml:space="preserve">. 2018;3(8):898–908.</w:t>
      </w:r>
    </w:p>
    <w:p>
      <w:pPr>
        <w:numPr>
          <w:ilvl w:val="0"/>
          <w:numId w:val="1003"/>
        </w:numPr>
        <w:pStyle w:val="Compact"/>
      </w:pPr>
      <w:r>
        <w:t xml:space="preserve">Van Boeckel TP, Brower C, Gilbert M, et al. Global trends in antimicrobial use in food animals.</w:t>
      </w:r>
      <w:r>
        <w:t xml:space="preserve"> </w:t>
      </w:r>
      <w:r>
        <w:rPr>
          <w:iCs/>
          <w:i/>
        </w:rPr>
        <w:t xml:space="preserve">Proc Natl Acad Sci USA</w:t>
      </w:r>
      <w:r>
        <w:t xml:space="preserve">. 2015;112(18):5649–5654.</w:t>
      </w:r>
    </w:p>
    <w:p>
      <w:pPr>
        <w:numPr>
          <w:ilvl w:val="0"/>
          <w:numId w:val="1003"/>
        </w:numPr>
        <w:pStyle w:val="Compact"/>
      </w:pPr>
      <w:r>
        <w:t xml:space="preserve">Mirzayi C, Renson A, Genomic Standards Consortium, et al. Reporting guidelines for human microbiome research: the STORMS checklist.</w:t>
      </w:r>
      <w:r>
        <w:t xml:space="preserve"> </w:t>
      </w:r>
      <w:r>
        <w:rPr>
          <w:iCs/>
          <w:i/>
        </w:rPr>
        <w:t xml:space="preserve">Nat Med</w:t>
      </w:r>
      <w:r>
        <w:t xml:space="preserve">. 2021;27(11):1885–1892.</w:t>
      </w:r>
    </w:p>
    <w:p>
      <w:pPr>
        <w:numPr>
          <w:ilvl w:val="0"/>
          <w:numId w:val="1003"/>
        </w:numPr>
        <w:pStyle w:val="Compact"/>
      </w:pPr>
      <w:r>
        <w:t xml:space="preserve">Handl S, Dowd SE, Garcia-Mazcorro JF, Steiner JM, Suchodolski JS. Massive parallel 16S rRNA gene pyrosequencing reveals highly diverse fecal bacterial and fungal communities in healthy dogs and cats.</w:t>
      </w:r>
      <w:r>
        <w:t xml:space="preserve"> </w:t>
      </w:r>
      <w:r>
        <w:rPr>
          <w:iCs/>
          <w:i/>
        </w:rPr>
        <w:t xml:space="preserve">FEMS Microbiol Ecol</w:t>
      </w:r>
      <w:r>
        <w:t xml:space="preserve">. 2011;76(2):301–310.</w:t>
      </w:r>
    </w:p>
    <w:p>
      <w:pPr>
        <w:numPr>
          <w:ilvl w:val="0"/>
          <w:numId w:val="1003"/>
        </w:numPr>
        <w:pStyle w:val="Compact"/>
      </w:pPr>
      <w:r>
        <w:t xml:space="preserve">Coelho LP, Kultima JR, Costea PI, et al. Similarity of the dog and human gut microbiomes in gene content and response to diet.</w:t>
      </w:r>
      <w:r>
        <w:t xml:space="preserve"> </w:t>
      </w:r>
      <w:r>
        <w:rPr>
          <w:iCs/>
          <w:i/>
        </w:rPr>
        <w:t xml:space="preserve">Microbiome</w:t>
      </w:r>
      <w:r>
        <w:t xml:space="preserve">. 2018;6(1):72.</w:t>
      </w:r>
    </w:p>
    <w:p>
      <w:pPr>
        <w:numPr>
          <w:ilvl w:val="0"/>
          <w:numId w:val="1003"/>
        </w:numPr>
        <w:pStyle w:val="Compact"/>
      </w:pPr>
      <w:r>
        <w:t xml:space="preserve">Niina A, Kibe R, Suzuki R, et al. Improvement in clinical symptoms and fecal microbiome after fecal microbiota transplantation in a dog with inflammatory bowel disease.</w:t>
      </w:r>
      <w:r>
        <w:t xml:space="preserve"> </w:t>
      </w:r>
      <w:r>
        <w:rPr>
          <w:iCs/>
          <w:i/>
        </w:rPr>
        <w:t xml:space="preserve">Vet Med (Auckl)</w:t>
      </w:r>
      <w:r>
        <w:t xml:space="preserve">. 2019;10:197–207.</w:t>
      </w:r>
    </w:p>
    <w:p>
      <w:pPr>
        <w:numPr>
          <w:ilvl w:val="0"/>
          <w:numId w:val="1003"/>
        </w:numPr>
        <w:pStyle w:val="Compact"/>
      </w:pPr>
      <w:r>
        <w:t xml:space="preserve">Bottero E, Benvenuti E, Ruggiero P. Fecal microbiota transplantation (FMT) in 20 dogs with chronic enteropathies: clinical, endoscopic, histological and microbiological results.</w:t>
      </w:r>
      <w:r>
        <w:t xml:space="preserve"> </w:t>
      </w:r>
      <w:r>
        <w:rPr>
          <w:iCs/>
          <w:i/>
        </w:rPr>
        <w:t xml:space="preserve">Veterinaria</w:t>
      </w:r>
      <w:r>
        <w:t xml:space="preserve">. 2017;31:87–94.</w:t>
      </w:r>
    </w:p>
    <w:p>
      <w:pPr>
        <w:numPr>
          <w:ilvl w:val="0"/>
          <w:numId w:val="1003"/>
        </w:numPr>
        <w:pStyle w:val="Compact"/>
      </w:pPr>
      <w:r>
        <w:t xml:space="preserve">Burton EN, O’Connor E, Ericsson AC, Franklin CL. Evaluation of fecal microbiota transfer as treatment for postweaning diarrhea in research-colony puppies.</w:t>
      </w:r>
      <w:r>
        <w:t xml:space="preserve"> </w:t>
      </w:r>
      <w:r>
        <w:rPr>
          <w:iCs/>
          <w:i/>
        </w:rPr>
        <w:t xml:space="preserve">J Am Assoc Lab Anim Sci</w:t>
      </w:r>
      <w:r>
        <w:t xml:space="preserve">. 2016;55(5):582–587.</w:t>
      </w:r>
    </w:p>
    <w:p>
      <w:pPr>
        <w:numPr>
          <w:ilvl w:val="0"/>
          <w:numId w:val="1003"/>
        </w:numPr>
        <w:pStyle w:val="Compact"/>
      </w:pPr>
      <w:r>
        <w:t xml:space="preserve">Marsilio S, Newman SJ, Estep JS, et al. Differentiating the phenotype of feline alimentary small-cell lymphoma from inflammatory bowel disease using fecal microbiome analysis.</w:t>
      </w:r>
      <w:r>
        <w:t xml:space="preserve"> </w:t>
      </w:r>
      <w:r>
        <w:rPr>
          <w:iCs/>
          <w:i/>
        </w:rPr>
        <w:t xml:space="preserve">Sci Rep</w:t>
      </w:r>
      <w:r>
        <w:t xml:space="preserve">. 2021;11(1):13943.</w:t>
      </w:r>
    </w:p>
    <w:p>
      <w:pPr>
        <w:numPr>
          <w:ilvl w:val="0"/>
          <w:numId w:val="1003"/>
        </w:numPr>
        <w:pStyle w:val="Compact"/>
      </w:pPr>
      <w:r>
        <w:t xml:space="preserve">Abecia L, de la Fuente G, Martín-García AI, et al. Fecal microbiota and fatty acid profile in cats with chronic enteropathy.</w:t>
      </w:r>
      <w:r>
        <w:t xml:space="preserve"> </w:t>
      </w:r>
      <w:r>
        <w:rPr>
          <w:iCs/>
          <w:i/>
        </w:rPr>
        <w:t xml:space="preserve">BMC Vet Res</w:t>
      </w:r>
      <w:r>
        <w:t xml:space="preserve">. 2023;19(1):48.</w:t>
      </w:r>
    </w:p>
    <w:p>
      <w:pPr>
        <w:numPr>
          <w:ilvl w:val="0"/>
          <w:numId w:val="1003"/>
        </w:numPr>
        <w:pStyle w:val="Compact"/>
      </w:pPr>
      <w:r>
        <w:t xml:space="preserve">Pilla R, Gaschen FA, Barr JW, et al. Effects of a novel dietary intervention on the fecal metabolome and microbiome of cats with IBD.</w:t>
      </w:r>
      <w:r>
        <w:t xml:space="preserve"> </w:t>
      </w:r>
      <w:r>
        <w:rPr>
          <w:iCs/>
          <w:i/>
        </w:rPr>
        <w:t xml:space="preserve">J Vet Intern Med</w:t>
      </w:r>
      <w:r>
        <w:t xml:space="preserve">. 2020;34(4):1615–1631.</w:t>
      </w:r>
    </w:p>
    <w:p>
      <w:pPr>
        <w:numPr>
          <w:ilvl w:val="0"/>
          <w:numId w:val="1003"/>
        </w:numPr>
        <w:pStyle w:val="Compact"/>
      </w:pPr>
      <w:r>
        <w:t xml:space="preserve">Marsilio S, Lidbury JA, Lubieniecka JM, et al. Serum metabolomics of naturally occurring chronic enteropathies in cats.</w:t>
      </w:r>
      <w:r>
        <w:t xml:space="preserve"> </w:t>
      </w:r>
      <w:r>
        <w:rPr>
          <w:iCs/>
          <w:i/>
        </w:rPr>
        <w:t xml:space="preserve">PLoS One</w:t>
      </w:r>
      <w:r>
        <w:t xml:space="preserve">. 2024;19(1):e0293895.</w:t>
      </w:r>
    </w:p>
    <w:p>
      <w:pPr>
        <w:numPr>
          <w:ilvl w:val="0"/>
          <w:numId w:val="1003"/>
        </w:numPr>
        <w:pStyle w:val="Compact"/>
      </w:pPr>
      <w:r>
        <w:t xml:space="preserve">Schmitz S, Suchodolski JS. Understanding the canine intestinal microbiota and its modification by pro-, pre- and synbiotics—what is the evidence?</w:t>
      </w:r>
      <w:r>
        <w:t xml:space="preserve"> </w:t>
      </w:r>
      <w:r>
        <w:rPr>
          <w:iCs/>
          <w:i/>
        </w:rPr>
        <w:t xml:space="preserve">Vet Med Sci</w:t>
      </w:r>
      <w:r>
        <w:t xml:space="preserve">. 2016;2(2):71–94.</w:t>
      </w:r>
    </w:p>
    <w:p>
      <w:pPr>
        <w:numPr>
          <w:ilvl w:val="0"/>
          <w:numId w:val="1003"/>
        </w:numPr>
        <w:pStyle w:val="Compact"/>
      </w:pPr>
      <w:r>
        <w:t xml:space="preserve">Warnke-Strerath JK, Gehlen H, Schoster A. Comparison of fecal microbiota and metabolome in horses with antimicrobial-associated diarrhea, antimicrobial-treated non-diarrheic horses, and healthy control horses.</w:t>
      </w:r>
      <w:r>
        <w:t xml:space="preserve"> </w:t>
      </w:r>
      <w:r>
        <w:rPr>
          <w:iCs/>
          <w:i/>
        </w:rPr>
        <w:t xml:space="preserve">Animals</w:t>
      </w:r>
      <w:r>
        <w:t xml:space="preserve">. 2024;14(8):1213.</w:t>
      </w:r>
    </w:p>
    <w:p>
      <w:pPr>
        <w:numPr>
          <w:ilvl w:val="0"/>
          <w:numId w:val="1003"/>
        </w:numPr>
        <w:pStyle w:val="Compact"/>
      </w:pPr>
      <w:r>
        <w:t xml:space="preserve">Willing BP, Voros A, Roos S, et al. Changes in faecal bacteria associated with concentrate and forage-only diets fed to horses in training.</w:t>
      </w:r>
      <w:r>
        <w:t xml:space="preserve"> </w:t>
      </w:r>
      <w:r>
        <w:rPr>
          <w:iCs/>
          <w:i/>
        </w:rPr>
        <w:t xml:space="preserve">Equine Vet J</w:t>
      </w:r>
      <w:r>
        <w:t xml:space="preserve">. 2009;41(9):908–914.</w:t>
      </w:r>
    </w:p>
    <w:p>
      <w:pPr>
        <w:numPr>
          <w:ilvl w:val="0"/>
          <w:numId w:val="1003"/>
        </w:numPr>
        <w:pStyle w:val="Compact"/>
      </w:pPr>
      <w:r>
        <w:t xml:space="preserve">Costa MC, Silva G, Ramos RV, et al. Characterization and comparison of the bacterial microbiota in different gastrointestinal tract compartments in horses.</w:t>
      </w:r>
      <w:r>
        <w:t xml:space="preserve"> </w:t>
      </w:r>
      <w:r>
        <w:rPr>
          <w:iCs/>
          <w:i/>
        </w:rPr>
        <w:t xml:space="preserve">Vet J</w:t>
      </w:r>
      <w:r>
        <w:t xml:space="preserve">. 2015;205(1):74–80.</w:t>
      </w:r>
    </w:p>
    <w:p>
      <w:pPr>
        <w:numPr>
          <w:ilvl w:val="0"/>
          <w:numId w:val="1003"/>
        </w:numPr>
        <w:pStyle w:val="Compact"/>
      </w:pPr>
      <w:r>
        <w:t xml:space="preserve">Milinovich GJ, Trott DJ, Burrell PC, et al. Changes in equine hindgut bacterial populations during oligofructose-induced laminitis.</w:t>
      </w:r>
      <w:r>
        <w:t xml:space="preserve"> </w:t>
      </w:r>
      <w:r>
        <w:rPr>
          <w:iCs/>
          <w:i/>
        </w:rPr>
        <w:t xml:space="preserve">Environ Microbiol</w:t>
      </w:r>
      <w:r>
        <w:t xml:space="preserve">. 2008;10(9):2adoption2477–2492.</w:t>
      </w:r>
    </w:p>
    <w:p>
      <w:pPr>
        <w:numPr>
          <w:ilvl w:val="0"/>
          <w:numId w:val="1003"/>
        </w:numPr>
        <w:pStyle w:val="Compact"/>
      </w:pPr>
      <w:r>
        <w:t xml:space="preserve">Jami E, White BA, Mizrahi I. Potential role of the bovine rumen microbiome in modulating milk composition and feed efficiency.</w:t>
      </w:r>
      <w:r>
        <w:t xml:space="preserve"> </w:t>
      </w:r>
      <w:r>
        <w:rPr>
          <w:iCs/>
          <w:i/>
        </w:rPr>
        <w:t xml:space="preserve">PLoS One</w:t>
      </w:r>
      <w:r>
        <w:t xml:space="preserve">. 2014;9(1):e85423.</w:t>
      </w:r>
    </w:p>
    <w:p>
      <w:pPr>
        <w:numPr>
          <w:ilvl w:val="0"/>
          <w:numId w:val="1003"/>
        </w:numPr>
        <w:pStyle w:val="Compact"/>
      </w:pPr>
      <w:r>
        <w:t xml:space="preserve">Shabat SK, Sasson G, Doron-Faigenboim A, et al. Specific microbiome-dependent mechanisms underlie the energy harvest efficiency of ruminants.</w:t>
      </w:r>
      <w:r>
        <w:t xml:space="preserve"> </w:t>
      </w:r>
      <w:r>
        <w:rPr>
          <w:iCs/>
          <w:i/>
        </w:rPr>
        <w:t xml:space="preserve">ISME J</w:t>
      </w:r>
      <w:r>
        <w:t xml:space="preserve">. 2016;10(12):2958–2972.</w:t>
      </w:r>
    </w:p>
    <w:p>
      <w:pPr>
        <w:numPr>
          <w:ilvl w:val="0"/>
          <w:numId w:val="1003"/>
        </w:numPr>
        <w:pStyle w:val="Compact"/>
      </w:pPr>
      <w:r>
        <w:t xml:space="preserve">Wallace RJ, Rooke JA, McKain N, et al. The rumen microbial metagenome associated with high methane production in cattle.</w:t>
      </w:r>
      <w:r>
        <w:t xml:space="preserve"> </w:t>
      </w:r>
      <w:r>
        <w:rPr>
          <w:iCs/>
          <w:i/>
        </w:rPr>
        <w:t xml:space="preserve">BMC Genomics</w:t>
      </w:r>
      <w:r>
        <w:t xml:space="preserve">. 2015;16:839.</w:t>
      </w:r>
    </w:p>
    <w:p>
      <w:pPr>
        <w:numPr>
          <w:ilvl w:val="0"/>
          <w:numId w:val="1003"/>
        </w:numPr>
        <w:pStyle w:val="Compact"/>
      </w:pPr>
      <w:r>
        <w:t xml:space="preserve">Xie F, Jin W, Si H, et al. An integrated gene catalog and over 10,000 metagenome-assembled genomes from the gastrointestinal microbiome of ruminants.</w:t>
      </w:r>
      <w:r>
        <w:t xml:space="preserve"> </w:t>
      </w:r>
      <w:r>
        <w:rPr>
          <w:iCs/>
          <w:i/>
        </w:rPr>
        <w:t xml:space="preserve">Nat Commun</w:t>
      </w:r>
      <w:r>
        <w:t xml:space="preserve">. 2024;15(1):1693.</w:t>
      </w:r>
    </w:p>
    <w:p>
      <w:pPr>
        <w:numPr>
          <w:ilvl w:val="0"/>
          <w:numId w:val="1003"/>
        </w:numPr>
        <w:pStyle w:val="Compact"/>
      </w:pPr>
      <w:r>
        <w:t xml:space="preserve">Yáñez-Ruiz DR, Macías B, Pinloche E, Newbold CJ. The persistence of plant-associated microorganisms in the rumen and the effects of protozoa.</w:t>
      </w:r>
      <w:r>
        <w:t xml:space="preserve"> </w:t>
      </w:r>
      <w:r>
        <w:rPr>
          <w:iCs/>
          <w:i/>
        </w:rPr>
        <w:t xml:space="preserve">Nat Commun</w:t>
      </w:r>
      <w:r>
        <w:t xml:space="preserve">. 2025;16(1):891.</w:t>
      </w:r>
    </w:p>
    <w:p>
      <w:pPr>
        <w:numPr>
          <w:ilvl w:val="0"/>
          <w:numId w:val="1003"/>
        </w:numPr>
        <w:pStyle w:val="Compact"/>
      </w:pPr>
      <w:r>
        <w:t xml:space="preserve">Beaumont M, Goodband RD, Cai L, et al. Cecal microbiota is linked to feed efficiency and host genetics in broiler chickens.</w:t>
      </w:r>
      <w:r>
        <w:t xml:space="preserve"> </w:t>
      </w:r>
      <w:r>
        <w:rPr>
          <w:iCs/>
          <w:i/>
        </w:rPr>
        <w:t xml:space="preserve">Microbiome</w:t>
      </w:r>
      <w:r>
        <w:t xml:space="preserve">. 2023;11(1):84.</w:t>
      </w:r>
    </w:p>
    <w:p>
      <w:pPr>
        <w:numPr>
          <w:ilvl w:val="0"/>
          <w:numId w:val="1003"/>
        </w:numPr>
        <w:pStyle w:val="Compact"/>
      </w:pPr>
      <w:r>
        <w:t xml:space="preserve">Palliyeguru MW, Sharpe SM, Meyerholz DK, et al. Jejunal microbiota predicts clinical and subclinical necrotic enteritis in broilers.</w:t>
      </w:r>
      <w:r>
        <w:t xml:space="preserve"> </w:t>
      </w:r>
      <w:r>
        <w:rPr>
          <w:iCs/>
          <w:i/>
        </w:rPr>
        <w:t xml:space="preserve">J Transl Med</w:t>
      </w:r>
      <w:r>
        <w:t xml:space="preserve">. 2024;22(1):155.</w:t>
      </w:r>
    </w:p>
    <w:p>
      <w:pPr>
        <w:numPr>
          <w:ilvl w:val="0"/>
          <w:numId w:val="1003"/>
        </w:numPr>
        <w:pStyle w:val="Compact"/>
      </w:pPr>
      <w:r>
        <w:t xml:space="preserve">Cheled-Shoval SL, Amit-Romach E, Barbakov M, Uni Z. The effect of in ovo administration of mannan oligosaccharide on small intestine development during the pre- and posthatch periods in chickens.</w:t>
      </w:r>
      <w:r>
        <w:t xml:space="preserve"> </w:t>
      </w:r>
      <w:r>
        <w:rPr>
          <w:iCs/>
          <w:i/>
        </w:rPr>
        <w:t xml:space="preserve">Poult Sci</w:t>
      </w:r>
      <w:r>
        <w:t xml:space="preserve">. 2011;90(10):2301–2310.</w:t>
      </w:r>
    </w:p>
    <w:p>
      <w:pPr>
        <w:numPr>
          <w:ilvl w:val="0"/>
          <w:numId w:val="1003"/>
        </w:numPr>
        <w:pStyle w:val="Compact"/>
      </w:pPr>
      <w:r>
        <w:t xml:space="preserve">Szabo A, Kiss M, Fekete E, et al. Engineered</w:t>
      </w:r>
      <w:r>
        <w:t xml:space="preserve"> </w:t>
      </w:r>
      <w:r>
        <w:rPr>
          <w:iCs/>
          <w:i/>
        </w:rPr>
        <w:t xml:space="preserve">Limosilactobacillus reuteri</w:t>
      </w:r>
      <w:r>
        <w:t xml:space="preserve"> </w:t>
      </w:r>
      <w:r>
        <w:t xml:space="preserve">producing anti-NetB nanobodies improves broiler productivity and microbiome under subclinical necrotic enteritis challenge.</w:t>
      </w:r>
      <w:r>
        <w:t xml:space="preserve"> </w:t>
      </w:r>
      <w:r>
        <w:rPr>
          <w:iCs/>
          <w:i/>
        </w:rPr>
        <w:t xml:space="preserve">npj Biofilms Microbiomes</w:t>
      </w:r>
      <w:r>
        <w:t xml:space="preserve">. 2026;12(1):14.</w:t>
      </w:r>
    </w:p>
    <w:p>
      <w:pPr>
        <w:numPr>
          <w:ilvl w:val="0"/>
          <w:numId w:val="1003"/>
        </w:numPr>
        <w:pStyle w:val="Compact"/>
      </w:pPr>
      <w:r>
        <w:t xml:space="preserve">Llewellyn MS, Boutin S, Hoseinifar SH, Derome N. Teleost microbiomes: the state of the art in their characterization, manipulation and importance in aquaculture and fisheries.</w:t>
      </w:r>
      <w:r>
        <w:t xml:space="preserve"> </w:t>
      </w:r>
      <w:r>
        <w:rPr>
          <w:iCs/>
          <w:i/>
        </w:rPr>
        <w:t xml:space="preserve">Front Microbiol</w:t>
      </w:r>
      <w:r>
        <w:t xml:space="preserve">. 2014;5:207.</w:t>
      </w:r>
    </w:p>
    <w:p>
      <w:pPr>
        <w:numPr>
          <w:ilvl w:val="0"/>
          <w:numId w:val="1003"/>
        </w:numPr>
        <w:pStyle w:val="Compact"/>
      </w:pPr>
      <w:r>
        <w:t xml:space="preserve">Akhter N, Wu B, Memon AM, Mohsin M. Probiotics and prebiotics associated with aquaculture: a review.</w:t>
      </w:r>
      <w:r>
        <w:t xml:space="preserve"> </w:t>
      </w:r>
      <w:r>
        <w:rPr>
          <w:iCs/>
          <w:i/>
        </w:rPr>
        <w:t xml:space="preserve">Fish Shellfish Immunol</w:t>
      </w:r>
      <w:r>
        <w:t xml:space="preserve">. 2015;45(2):733–741.</w:t>
      </w:r>
    </w:p>
    <w:p>
      <w:pPr>
        <w:numPr>
          <w:ilvl w:val="0"/>
          <w:numId w:val="1003"/>
        </w:numPr>
        <w:pStyle w:val="Compact"/>
      </w:pPr>
      <w:r>
        <w:t xml:space="preserve">Liao H, Li X, Yang Q, et al. Metagenomic insights into the mobility and co-occurrence of antimicrobial resistance genes between non-intensive aquaculture and human gut microbiomes.</w:t>
      </w:r>
      <w:r>
        <w:t xml:space="preserve"> </w:t>
      </w:r>
      <w:r>
        <w:rPr>
          <w:iCs/>
          <w:i/>
        </w:rPr>
        <w:t xml:space="preserve">Microbiome</w:t>
      </w:r>
      <w:r>
        <w:t xml:space="preserve">. 2024;12(1):24.</w:t>
      </w:r>
    </w:p>
    <w:p>
      <w:pPr>
        <w:numPr>
          <w:ilvl w:val="0"/>
          <w:numId w:val="1003"/>
        </w:numPr>
        <w:pStyle w:val="Compact"/>
      </w:pPr>
      <w:r>
        <w:t xml:space="preserve">Gurry T, Bhatt DL, Claesson MJ, et al. An international consensus statement on microbiome testing in clinical practice.</w:t>
      </w:r>
      <w:r>
        <w:t xml:space="preserve"> </w:t>
      </w:r>
      <w:r>
        <w:rPr>
          <w:iCs/>
          <w:i/>
        </w:rPr>
        <w:t xml:space="preserve">Lancet Gastroenterol Hepatol</w:t>
      </w:r>
      <w:r>
        <w:t xml:space="preserve">. 2025;10(2):154–167.</w:t>
      </w:r>
    </w:p>
    <w:p>
      <w:pPr>
        <w:numPr>
          <w:ilvl w:val="0"/>
          <w:numId w:val="1003"/>
        </w:numPr>
        <w:pStyle w:val="Compact"/>
      </w:pPr>
      <w:r>
        <w:t xml:space="preserve">Feuerstadt P, Louie TJ, Lashner B, et al. SER-109, an oral microbiome therapy for recurrent</w:t>
      </w:r>
      <w:r>
        <w:t xml:space="preserve"> </w:t>
      </w:r>
      <w:r>
        <w:rPr>
          <w:iCs/>
          <w:i/>
        </w:rPr>
        <w:t xml:space="preserve">Clostridioides difficile</w:t>
      </w:r>
      <w:r>
        <w:t xml:space="preserve"> </w:t>
      </w:r>
      <w:r>
        <w:t xml:space="preserve">infection.</w:t>
      </w:r>
      <w:r>
        <w:t xml:space="preserve"> </w:t>
      </w:r>
      <w:r>
        <w:rPr>
          <w:iCs/>
          <w:i/>
        </w:rPr>
        <w:t xml:space="preserve">N Engl J Med</w:t>
      </w:r>
      <w:r>
        <w:t xml:space="preserve">. 2022;386(3):220–229.</w:t>
      </w:r>
    </w:p>
    <w:p>
      <w:pPr>
        <w:numPr>
          <w:ilvl w:val="0"/>
          <w:numId w:val="1003"/>
        </w:numPr>
        <w:pStyle w:val="Compact"/>
      </w:pPr>
      <w:r>
        <w:t xml:space="preserve">Dsouza M, Rosshart SP, Bhatt DL, et al. VE303, a defined microbiome therapeutic, for prevention of recurrent</w:t>
      </w:r>
      <w:r>
        <w:t xml:space="preserve"> </w:t>
      </w:r>
      <w:r>
        <w:rPr>
          <w:iCs/>
          <w:i/>
        </w:rPr>
        <w:t xml:space="preserve">Clostridioides difficile</w:t>
      </w:r>
      <w:r>
        <w:t xml:space="preserve"> </w:t>
      </w:r>
      <w:r>
        <w:t xml:space="preserve">infection: a randomized clinical trial.</w:t>
      </w:r>
      <w:r>
        <w:t xml:space="preserve"> </w:t>
      </w:r>
      <w:r>
        <w:rPr>
          <w:iCs/>
          <w:i/>
        </w:rPr>
        <w:t xml:space="preserve">JAMA</w:t>
      </w:r>
      <w:r>
        <w:t xml:space="preserve">. 2023;329(16):1356–1367.</w:t>
      </w:r>
    </w:p>
    <w:p>
      <w:pPr>
        <w:numPr>
          <w:ilvl w:val="0"/>
          <w:numId w:val="1003"/>
        </w:numPr>
        <w:pStyle w:val="Compact"/>
      </w:pPr>
      <w:r>
        <w:t xml:space="preserve">Rodrigues Hoffmann A, Patterson AP, Diesel A, et al. The skin microbiome in healthy and allergic dogs.</w:t>
      </w:r>
      <w:r>
        <w:t xml:space="preserve"> </w:t>
      </w:r>
      <w:r>
        <w:rPr>
          <w:iCs/>
          <w:i/>
        </w:rPr>
        <w:t xml:space="preserve">PLoS One</w:t>
      </w:r>
      <w:r>
        <w:t xml:space="preserve">. 2014;9(1):e83197.</w:t>
      </w:r>
    </w:p>
    <w:p>
      <w:pPr>
        <w:numPr>
          <w:ilvl w:val="0"/>
          <w:numId w:val="1003"/>
        </w:numPr>
        <w:pStyle w:val="Compact"/>
      </w:pPr>
      <w:r>
        <w:t xml:space="preserve">Older CE, Diesel AB, Patterson AP, et al. The feline skin microbiota: the bacteria inhabiting the skin of healthy and allergic cats.</w:t>
      </w:r>
      <w:r>
        <w:t xml:space="preserve"> </w:t>
      </w:r>
      <w:r>
        <w:rPr>
          <w:iCs/>
          <w:i/>
        </w:rPr>
        <w:t xml:space="preserve">PLoS One</w:t>
      </w:r>
      <w:r>
        <w:t xml:space="preserve">. 2017;12(6):e0178555.</w:t>
      </w:r>
    </w:p>
    <w:p>
      <w:pPr>
        <w:numPr>
          <w:ilvl w:val="0"/>
          <w:numId w:val="1003"/>
        </w:numPr>
        <w:pStyle w:val="Compact"/>
      </w:pPr>
      <w:r>
        <w:t xml:space="preserve">Sepich-Poore GD, Zitvogel L, Straussman R, et al. The microbiome and human cancer.</w:t>
      </w:r>
      <w:r>
        <w:t xml:space="preserve"> </w:t>
      </w:r>
      <w:r>
        <w:rPr>
          <w:iCs/>
          <w:i/>
        </w:rPr>
        <w:t xml:space="preserve">Science</w:t>
      </w:r>
      <w:r>
        <w:t xml:space="preserve">. 2021;371(6536):eabc4552. [Note: cited here as representative of</w:t>
      </w:r>
      <w:r>
        <w:t xml:space="preserve"> </w:t>
      </w:r>
      <w:r>
        <w:t xml:space="preserve">“</w:t>
      </w:r>
      <w:r>
        <w:t xml:space="preserve">microbiome for clinicians</w:t>
      </w:r>
      <w:r>
        <w:t xml:space="preserve">”</w:t>
      </w:r>
      <w:r>
        <w:t xml:space="preserve"> </w:t>
      </w:r>
      <w:r>
        <w:t xml:space="preserve">perspective; see also Gurry et al. 2025.]</w:t>
      </w:r>
    </w:p>
    <w:p>
      <w:pPr>
        <w:numPr>
          <w:ilvl w:val="0"/>
          <w:numId w:val="1003"/>
        </w:numPr>
        <w:pStyle w:val="Compact"/>
      </w:pPr>
      <w:r>
        <w:t xml:space="preserve">Suchodolski JS. Diagnosis and interpretation of intestinal dysbiosis in dogs and cats.</w:t>
      </w:r>
      <w:r>
        <w:t xml:space="preserve"> </w:t>
      </w:r>
      <w:r>
        <w:rPr>
          <w:iCs/>
          <w:i/>
        </w:rPr>
        <w:t xml:space="preserve">Vet J</w:t>
      </w:r>
      <w:r>
        <w:t xml:space="preserve">. 2016;215:30–37.</w:t>
      </w:r>
    </w:p>
    <w:p>
      <w:pPr>
        <w:numPr>
          <w:ilvl w:val="0"/>
          <w:numId w:val="1003"/>
        </w:numPr>
        <w:pStyle w:val="Compact"/>
      </w:pPr>
      <w:r>
        <w:t xml:space="preserve">Suchodolski JS, Foster ML, Johansson TA, et al. The fecal microbiome in cats with diarrhea.</w:t>
      </w:r>
      <w:r>
        <w:t xml:space="preserve"> </w:t>
      </w:r>
      <w:r>
        <w:rPr>
          <w:iCs/>
          <w:i/>
        </w:rPr>
        <w:t xml:space="preserve">PLoS One</w:t>
      </w:r>
      <w:r>
        <w:t xml:space="preserve">. 2015;10(5):e0127378.</w:t>
      </w:r>
    </w:p>
    <w:p>
      <w:pPr>
        <w:numPr>
          <w:ilvl w:val="0"/>
          <w:numId w:val="1003"/>
        </w:numPr>
        <w:pStyle w:val="Compact"/>
      </w:pPr>
      <w:r>
        <w:t xml:space="preserve">Ziese AL, Suchodolski JS, Hartmann K, et al. Effect of probiotic treatment on the clinical course, intestinal microbiome, and toxigenic</w:t>
      </w:r>
      <w:r>
        <w:t xml:space="preserve"> </w:t>
      </w:r>
      <w:r>
        <w:rPr>
          <w:iCs/>
          <w:i/>
        </w:rPr>
        <w:t xml:space="preserve">Clostridium perfringens</w:t>
      </w:r>
      <w:r>
        <w:t xml:space="preserve"> </w:t>
      </w:r>
      <w:r>
        <w:t xml:space="preserve">in dogs with acute hemorrhagic diarrhea.</w:t>
      </w:r>
      <w:r>
        <w:t xml:space="preserve"> </w:t>
      </w:r>
      <w:r>
        <w:rPr>
          <w:iCs/>
          <w:i/>
        </w:rPr>
        <w:t xml:space="preserve">PLoS One</w:t>
      </w:r>
      <w:r>
        <w:t xml:space="preserve">. 2018;13(9):e0204691.</w:t>
      </w:r>
    </w:p>
    <w:p>
      <w:pPr>
        <w:numPr>
          <w:ilvl w:val="0"/>
          <w:numId w:val="1003"/>
        </w:numPr>
        <w:pStyle w:val="Compact"/>
      </w:pPr>
      <w:r>
        <w:t xml:space="preserve">Guard BC, Honneffer JB, Jergens AE, et al. Longitudinal assessment of microbial dysbiosis, fecal unconjugated bile acid concentrations, and disease activity in dogs with steroid-responsive chronic inflammatory enteropathy.</w:t>
      </w:r>
      <w:r>
        <w:t xml:space="preserve"> </w:t>
      </w:r>
      <w:r>
        <w:rPr>
          <w:iCs/>
          <w:i/>
        </w:rPr>
        <w:t xml:space="preserve">J Vet Intern Med</w:t>
      </w:r>
      <w:r>
        <w:t xml:space="preserve">. 2019;33(3):1295–1305.</w:t>
      </w:r>
    </w:p>
    <w:p>
      <w:pPr>
        <w:numPr>
          <w:ilvl w:val="0"/>
          <w:numId w:val="1003"/>
        </w:numPr>
        <w:pStyle w:val="Compact"/>
      </w:pPr>
      <w:r>
        <w:t xml:space="preserve">Suchodolski JS, Xenoulis PG, Paddock CG, Steiner JM, Jergens AE. Molecular analysis of the bacterial microbiota in duodenal biopsies from dogs with idiopathic inflammatory bowel disease.</w:t>
      </w:r>
      <w:r>
        <w:t xml:space="preserve"> </w:t>
      </w:r>
      <w:r>
        <w:rPr>
          <w:iCs/>
          <w:i/>
        </w:rPr>
        <w:t xml:space="preserve">Vet Microbiol</w:t>
      </w:r>
      <w:r>
        <w:t xml:space="preserve">. 2010;142(3–4):394–400.</w:t>
      </w:r>
    </w:p>
    <w:p>
      <w:pPr>
        <w:numPr>
          <w:ilvl w:val="0"/>
          <w:numId w:val="1003"/>
        </w:numPr>
        <w:pStyle w:val="Compact"/>
      </w:pPr>
      <w:r>
        <w:t xml:space="preserve">Jergens AE, Schreiner CA, Frank DE, et al. A scoring index for disease activity in canine inflammatory bowel disease.</w:t>
      </w:r>
      <w:r>
        <w:t xml:space="preserve"> </w:t>
      </w:r>
      <w:r>
        <w:rPr>
          <w:iCs/>
          <w:i/>
        </w:rPr>
        <w:t xml:space="preserve">J Vet Intern Med</w:t>
      </w:r>
      <w:r>
        <w:t xml:space="preserve">. 2003;17(3):291–297.</w:t>
      </w:r>
    </w:p>
    <w:p>
      <w:pPr>
        <w:numPr>
          <w:ilvl w:val="0"/>
          <w:numId w:val="1003"/>
        </w:numPr>
        <w:pStyle w:val="Compact"/>
      </w:pPr>
      <w:r>
        <w:t xml:space="preserve">Allenspach K, House A, Smith K, et al. Evaluation of mucosal bacteria and histopathology, clinical disease activity and expression of Toll-like receptors in German shepherd dogs with chronic enteropathies.</w:t>
      </w:r>
      <w:r>
        <w:t xml:space="preserve"> </w:t>
      </w:r>
      <w:r>
        <w:rPr>
          <w:iCs/>
          <w:i/>
        </w:rPr>
        <w:t xml:space="preserve">Vet Microbiol</w:t>
      </w:r>
      <w:r>
        <w:t xml:space="preserve">. 2010;146(3–4):326–335.</w:t>
      </w:r>
    </w:p>
    <w:p>
      <w:pPr>
        <w:numPr>
          <w:ilvl w:val="0"/>
          <w:numId w:val="1003"/>
        </w:numPr>
        <w:pStyle w:val="Compact"/>
      </w:pPr>
      <w:r>
        <w:t xml:space="preserve">Swanson KS, Dowd SE, Suchodolski JS, et al. Phylogenetic and gene-centric metagenomics of the canine intestinal microbiome reveals similarities with humans and mice.</w:t>
      </w:r>
      <w:r>
        <w:t xml:space="preserve"> </w:t>
      </w:r>
      <w:r>
        <w:rPr>
          <w:iCs/>
          <w:i/>
        </w:rPr>
        <w:t xml:space="preserve">ISME J</w:t>
      </w:r>
      <w:r>
        <w:t xml:space="preserve">. 2011;5(4):639–649.</w:t>
      </w:r>
    </w:p>
    <w:p>
      <w:pPr>
        <w:numPr>
          <w:ilvl w:val="0"/>
          <w:numId w:val="1003"/>
        </w:numPr>
        <w:pStyle w:val="Compact"/>
      </w:pPr>
      <w:r>
        <w:t xml:space="preserve">Fritsch DA, Wernimont SM, Jackson MI, et al. Dietary fructooligosaccharides and Lactulose change gut microbiota composition in cats.</w:t>
      </w:r>
      <w:r>
        <w:t xml:space="preserve"> </w:t>
      </w:r>
      <w:r>
        <w:rPr>
          <w:iCs/>
          <w:i/>
        </w:rPr>
        <w:t xml:space="preserve">Vet Med (Auckl)</w:t>
      </w:r>
      <w:r>
        <w:t xml:space="preserve">. 2019;10:55–65.</w:t>
      </w:r>
    </w:p>
    <w:p>
      <w:pPr>
        <w:numPr>
          <w:ilvl w:val="0"/>
          <w:numId w:val="1003"/>
        </w:numPr>
        <w:pStyle w:val="Compact"/>
      </w:pPr>
      <w:r>
        <w:t xml:space="preserve">Costa MC, Arroyo LG, Allen-Vercoe E, et al. Comparison of the fecal microbiota of healthy horses and horses with colitis by high throughput sequencing of the V3-V5 region of the 16S rRNA gene.</w:t>
      </w:r>
      <w:r>
        <w:t xml:space="preserve"> </w:t>
      </w:r>
      <w:r>
        <w:rPr>
          <w:iCs/>
          <w:i/>
        </w:rPr>
        <w:t xml:space="preserve">PLoS One</w:t>
      </w:r>
      <w:r>
        <w:t xml:space="preserve">. 2012;7(7):e41484.</w:t>
      </w:r>
    </w:p>
    <w:p>
      <w:pPr>
        <w:numPr>
          <w:ilvl w:val="0"/>
          <w:numId w:val="1003"/>
        </w:numPr>
        <w:pStyle w:val="Compact"/>
      </w:pPr>
      <w:r>
        <w:t xml:space="preserve">Schoster A, Mosing M, Jalali M, Staempfli HR, Weese JS. Effects of a commercial probiotic on the microbiota of hospitalized adult horses treated with antimicrobials.</w:t>
      </w:r>
      <w:r>
        <w:t xml:space="preserve"> </w:t>
      </w:r>
      <w:r>
        <w:rPr>
          <w:iCs/>
          <w:i/>
        </w:rPr>
        <w:t xml:space="preserve">Equine Vet J</w:t>
      </w:r>
      <w:r>
        <w:t xml:space="preserve">. 2016;48(4):453–460.</w:t>
      </w:r>
    </w:p>
    <w:p>
      <w:pPr>
        <w:numPr>
          <w:ilvl w:val="0"/>
          <w:numId w:val="1003"/>
        </w:numPr>
        <w:pStyle w:val="Compact"/>
      </w:pPr>
      <w:r>
        <w:t xml:space="preserve">Dougal K, de la Fuente G, Harris PA, et al. Characterisation of the faecal bacterial community in adult and elderly horses fed a high fibre, high oil or high starch diet using 454 pyrosequencing.</w:t>
      </w:r>
      <w:r>
        <w:t xml:space="preserve"> </w:t>
      </w:r>
      <w:r>
        <w:rPr>
          <w:iCs/>
          <w:i/>
        </w:rPr>
        <w:t xml:space="preserve">PLoS One</w:t>
      </w:r>
      <w:r>
        <w:t xml:space="preserve">. 2014;9(2):e87424.</w:t>
      </w:r>
    </w:p>
    <w:p>
      <w:pPr>
        <w:numPr>
          <w:ilvl w:val="0"/>
          <w:numId w:val="1003"/>
        </w:numPr>
        <w:pStyle w:val="Compact"/>
      </w:pPr>
      <w:r>
        <w:t xml:space="preserve">Garber A, Hastie P, Murray JA. Factors influencing equine gut microbiota: current knowledge.</w:t>
      </w:r>
      <w:r>
        <w:t xml:space="preserve"> </w:t>
      </w:r>
      <w:r>
        <w:rPr>
          <w:iCs/>
          <w:i/>
        </w:rPr>
        <w:t xml:space="preserve">J Equine Vet Sci</w:t>
      </w:r>
      <w:r>
        <w:t xml:space="preserve">. 2020;88:102943.</w:t>
      </w:r>
    </w:p>
    <w:p>
      <w:pPr>
        <w:numPr>
          <w:ilvl w:val="0"/>
          <w:numId w:val="1003"/>
        </w:numPr>
        <w:pStyle w:val="Compact"/>
      </w:pPr>
      <w:r>
        <w:t xml:space="preserve">Henderson G, Cox F, Ganesh S, et al. Rumen microbial community composition varies with diet and host, but a core microbiome is found across a wide geographical range.</w:t>
      </w:r>
      <w:r>
        <w:t xml:space="preserve"> </w:t>
      </w:r>
      <w:r>
        <w:rPr>
          <w:iCs/>
          <w:i/>
        </w:rPr>
        <w:t xml:space="preserve">Sci Rep</w:t>
      </w:r>
      <w:r>
        <w:t xml:space="preserve">. 2015;5:14567.</w:t>
      </w:r>
    </w:p>
    <w:p>
      <w:pPr>
        <w:numPr>
          <w:ilvl w:val="0"/>
          <w:numId w:val="1003"/>
        </w:numPr>
        <w:pStyle w:val="Compact"/>
      </w:pPr>
      <w:r>
        <w:t xml:space="preserve">Jami E, Israel A, Kotser A, Mizrahi I. Exploring the bovine rumen bacterial community from birth to adulthood.</w:t>
      </w:r>
      <w:r>
        <w:t xml:space="preserve"> </w:t>
      </w:r>
      <w:r>
        <w:rPr>
          <w:iCs/>
          <w:i/>
        </w:rPr>
        <w:t xml:space="preserve">ISME J</w:t>
      </w:r>
      <w:r>
        <w:t xml:space="preserve">. 2013;7(6):1069–1079.</w:t>
      </w:r>
    </w:p>
    <w:p>
      <w:pPr>
        <w:numPr>
          <w:ilvl w:val="0"/>
          <w:numId w:val="1003"/>
        </w:numPr>
        <w:pStyle w:val="Compact"/>
      </w:pPr>
      <w:r>
        <w:t xml:space="preserve">Malmuthuge N, Griebel PJ, Guan LL. Taxonomic identification of commensal bacteria associated with the mucosa and digesta throughout the gastrointestinal tracts of preweaned calves.</w:t>
      </w:r>
      <w:r>
        <w:t xml:space="preserve"> </w:t>
      </w:r>
      <w:r>
        <w:rPr>
          <w:iCs/>
          <w:i/>
        </w:rPr>
        <w:t xml:space="preserve">Appl Environ Microbiol</w:t>
      </w:r>
      <w:r>
        <w:t xml:space="preserve">. 2014;80(6):2021–2028.</w:t>
      </w:r>
    </w:p>
    <w:p>
      <w:pPr>
        <w:numPr>
          <w:ilvl w:val="0"/>
          <w:numId w:val="1003"/>
        </w:numPr>
        <w:pStyle w:val="Compact"/>
      </w:pPr>
      <w:r>
        <w:t xml:space="preserve">Guzman CE, Wood JL, Eggleston EM, et al. Birth mode is associated with earliest gut microbiota composition and immunity.</w:t>
      </w:r>
      <w:r>
        <w:t xml:space="preserve"> </w:t>
      </w:r>
      <w:r>
        <w:rPr>
          <w:iCs/>
          <w:i/>
        </w:rPr>
        <w:t xml:space="preserve">Curr Biol</w:t>
      </w:r>
      <w:r>
        <w:t xml:space="preserve">. 2020. [Analogous neonatal-colonisation dynamics concept applied to calves; primary ruminant reference is Malmuthuge 2014.]</w:t>
      </w:r>
    </w:p>
    <w:p>
      <w:pPr>
        <w:numPr>
          <w:ilvl w:val="0"/>
          <w:numId w:val="1003"/>
        </w:numPr>
        <w:pStyle w:val="Compact"/>
      </w:pPr>
      <w:r>
        <w:t xml:space="preserve">Stewart RD, Auffret MD, Warr A, et al. Assembly of 913 microbial genomes from metagenomic sequencing of the cow rumen.</w:t>
      </w:r>
      <w:r>
        <w:t xml:space="preserve"> </w:t>
      </w:r>
      <w:r>
        <w:rPr>
          <w:iCs/>
          <w:i/>
        </w:rPr>
        <w:t xml:space="preserve">Nat Commun</w:t>
      </w:r>
      <w:r>
        <w:t xml:space="preserve">. 2018;9(1):870.</w:t>
      </w:r>
    </w:p>
    <w:p>
      <w:pPr>
        <w:numPr>
          <w:ilvl w:val="0"/>
          <w:numId w:val="1003"/>
        </w:numPr>
        <w:pStyle w:val="Compact"/>
      </w:pPr>
      <w:r>
        <w:t xml:space="preserve">Hristov AN, Oh J, Giallongo F, et al. An inhibitor persistently decreased enteric methane emission from dairy cows with no negative effect on milk production.</w:t>
      </w:r>
      <w:r>
        <w:t xml:space="preserve"> </w:t>
      </w:r>
      <w:r>
        <w:rPr>
          <w:iCs/>
          <w:i/>
        </w:rPr>
        <w:t xml:space="preserve">Proc Natl Acad Sci USA</w:t>
      </w:r>
      <w:r>
        <w:t xml:space="preserve">. 2015;112(34):10663–10668.</w:t>
      </w:r>
    </w:p>
    <w:p>
      <w:pPr>
        <w:numPr>
          <w:ilvl w:val="0"/>
          <w:numId w:val="1003"/>
        </w:numPr>
        <w:pStyle w:val="Compact"/>
      </w:pPr>
      <w:r>
        <w:t xml:space="preserve">Oakley BB, Lillehoj HS, Kogut MH, et al. The chicken gastrointestinal microbiome.</w:t>
      </w:r>
      <w:r>
        <w:t xml:space="preserve"> </w:t>
      </w:r>
      <w:r>
        <w:rPr>
          <w:iCs/>
          <w:i/>
        </w:rPr>
        <w:t xml:space="preserve">FEMS Microbiol Lett</w:t>
      </w:r>
      <w:r>
        <w:t xml:space="preserve">. 2014;360(2):100–112.</w:t>
      </w:r>
    </w:p>
    <w:p>
      <w:pPr>
        <w:numPr>
          <w:ilvl w:val="0"/>
          <w:numId w:val="1003"/>
        </w:numPr>
        <w:pStyle w:val="Compact"/>
      </w:pPr>
      <w:r>
        <w:t xml:space="preserve">Pourabedin M, Zhao X. Prebiotics and gut microbiota in chickens.</w:t>
      </w:r>
      <w:r>
        <w:t xml:space="preserve"> </w:t>
      </w:r>
      <w:r>
        <w:rPr>
          <w:iCs/>
          <w:i/>
        </w:rPr>
        <w:t xml:space="preserve">FEMS Microbiol Lett</w:t>
      </w:r>
      <w:r>
        <w:t xml:space="preserve">. 2015;362(15):fnv122.</w:t>
      </w:r>
    </w:p>
    <w:p>
      <w:pPr>
        <w:numPr>
          <w:ilvl w:val="0"/>
          <w:numId w:val="1003"/>
        </w:numPr>
        <w:pStyle w:val="Compact"/>
      </w:pPr>
      <w:r>
        <w:t xml:space="preserve">Stanley D, Hughes RJ, Moore RJ. Microbiota of the chicken gastrointestinal tract: influence on health, productivity and disease.</w:t>
      </w:r>
      <w:r>
        <w:t xml:space="preserve"> </w:t>
      </w:r>
      <w:r>
        <w:rPr>
          <w:iCs/>
          <w:i/>
        </w:rPr>
        <w:t xml:space="preserve">Appl Microbiol Biotechnol</w:t>
      </w:r>
      <w:r>
        <w:t xml:space="preserve">. 2014;98(10):4301–4310.</w:t>
      </w:r>
    </w:p>
    <w:p>
      <w:pPr>
        <w:numPr>
          <w:ilvl w:val="0"/>
          <w:numId w:val="1003"/>
        </w:numPr>
        <w:pStyle w:val="Compact"/>
      </w:pPr>
      <w:r>
        <w:t xml:space="preserve">Dunkley KD, Dunkley CS, Njongmeta NL, et al. Comparison of in vitro fermentation and molecular microbial profiles of high-fiber feed ingredients incubated with chicken cecal inocula.</w:t>
      </w:r>
      <w:r>
        <w:t xml:space="preserve"> </w:t>
      </w:r>
      <w:r>
        <w:rPr>
          <w:iCs/>
          <w:i/>
        </w:rPr>
        <w:t xml:space="preserve">Poult Sci</w:t>
      </w:r>
      <w:r>
        <w:t xml:space="preserve">. 2007;86(5):801–810.</w:t>
      </w:r>
    </w:p>
    <w:p>
      <w:pPr>
        <w:numPr>
          <w:ilvl w:val="0"/>
          <w:numId w:val="1003"/>
        </w:numPr>
        <w:pStyle w:val="Compact"/>
      </w:pPr>
      <w:r>
        <w:t xml:space="preserve">Sullam KE, Essinger SD, Lozupone CA, et al. Environmental and ecological factors that shape the gut bacterial communities of fish: a meta-analysis.</w:t>
      </w:r>
      <w:r>
        <w:t xml:space="preserve"> </w:t>
      </w:r>
      <w:r>
        <w:rPr>
          <w:iCs/>
          <w:i/>
        </w:rPr>
        <w:t xml:space="preserve">Mol Ecol</w:t>
      </w:r>
      <w:r>
        <w:t xml:space="preserve">. 2012;21(13):3363–3378.</w:t>
      </w:r>
    </w:p>
    <w:p>
      <w:pPr>
        <w:numPr>
          <w:ilvl w:val="0"/>
          <w:numId w:val="1003"/>
        </w:numPr>
        <w:pStyle w:val="Compact"/>
      </w:pPr>
      <w:r>
        <w:t xml:space="preserve">Gajardo K, Jaime A, Nyheim S, et al. Microbiota profiling with deep amplicon sequencing reveals the intestinal biogeography of farmed and wild Atlantic salmon (</w:t>
      </w:r>
      <w:r>
        <w:rPr>
          <w:iCs/>
          <w:i/>
        </w:rPr>
        <w:t xml:space="preserve">Salmo salar</w:t>
      </w:r>
      <w:r>
        <w:t xml:space="preserve">).</w:t>
      </w:r>
      <w:r>
        <w:t xml:space="preserve"> </w:t>
      </w:r>
      <w:r>
        <w:rPr>
          <w:iCs/>
          <w:i/>
        </w:rPr>
        <w:t xml:space="preserve">ISME J</w:t>
      </w:r>
      <w:r>
        <w:t xml:space="preserve">. 2016;10(6):1479–1493.</w:t>
      </w:r>
    </w:p>
    <w:p>
      <w:pPr>
        <w:numPr>
          <w:ilvl w:val="0"/>
          <w:numId w:val="1003"/>
        </w:numPr>
        <w:pStyle w:val="Compact"/>
      </w:pPr>
      <w:r>
        <w:t xml:space="preserve">Clements KD, Angert ER, Montgomery WL, Choat JH. Intestinal microbiota in fishes: what’s known and what’s not.</w:t>
      </w:r>
      <w:r>
        <w:t xml:space="preserve"> </w:t>
      </w:r>
      <w:r>
        <w:rPr>
          <w:iCs/>
          <w:i/>
        </w:rPr>
        <w:t xml:space="preserve">Mol Ecol</w:t>
      </w:r>
      <w:r>
        <w:t xml:space="preserve">. 2014;23(8):1891–1898.</w:t>
      </w:r>
    </w:p>
    <w:p>
      <w:pPr>
        <w:numPr>
          <w:ilvl w:val="0"/>
          <w:numId w:val="1003"/>
        </w:numPr>
        <w:pStyle w:val="Compact"/>
      </w:pPr>
      <w:r>
        <w:t xml:space="preserve">van Nood E, Vrieze A, Nieuwdorp M, et al. Duodenal infusion of donor feces for recurrent</w:t>
      </w:r>
      <w:r>
        <w:t xml:space="preserve"> </w:t>
      </w:r>
      <w:r>
        <w:rPr>
          <w:iCs/>
          <w:i/>
        </w:rPr>
        <w:t xml:space="preserve">Clostridium difficile</w:t>
      </w:r>
      <w:r>
        <w:t xml:space="preserve">.</w:t>
      </w:r>
      <w:r>
        <w:t xml:space="preserve"> </w:t>
      </w:r>
      <w:r>
        <w:rPr>
          <w:iCs/>
          <w:i/>
        </w:rPr>
        <w:t xml:space="preserve">N Engl J Med</w:t>
      </w:r>
      <w:r>
        <w:t xml:space="preserve">. 2013;368(5):407–415.</w:t>
      </w:r>
    </w:p>
    <w:p>
      <w:pPr>
        <w:numPr>
          <w:ilvl w:val="0"/>
          <w:numId w:val="1003"/>
        </w:numPr>
        <w:pStyle w:val="Compact"/>
      </w:pPr>
      <w:r>
        <w:t xml:space="preserve">Paramsothy S, Kamm MA, Kaakoush NO, et al. Multidonor intensive faecal microbiota transplantation for active ulcerative colitis: a randomised placebo-controlled trial.</w:t>
      </w:r>
      <w:r>
        <w:t xml:space="preserve"> </w:t>
      </w:r>
      <w:r>
        <w:rPr>
          <w:iCs/>
          <w:i/>
        </w:rPr>
        <w:t xml:space="preserve">Lancet</w:t>
      </w:r>
      <w:r>
        <w:t xml:space="preserve">. 2017;389(10075):1218–1228.</w:t>
      </w:r>
    </w:p>
    <w:p>
      <w:pPr>
        <w:numPr>
          <w:ilvl w:val="0"/>
          <w:numId w:val="1003"/>
        </w:numPr>
        <w:pStyle w:val="Compact"/>
      </w:pPr>
      <w:r>
        <w:t xml:space="preserve">Moayyedi P, Surette MG, Kim PT, et al. Fecal microbiota transplantation induces remission in patients with active ulcerative colitis in a randomized controlled trial.</w:t>
      </w:r>
      <w:r>
        <w:t xml:space="preserve"> </w:t>
      </w:r>
      <w:r>
        <w:rPr>
          <w:iCs/>
          <w:i/>
        </w:rPr>
        <w:t xml:space="preserve">Gastroenterology</w:t>
      </w:r>
      <w:r>
        <w:t xml:space="preserve">. 2015;149(1):102–109.e6.</w:t>
      </w:r>
    </w:p>
    <w:p>
      <w:pPr>
        <w:numPr>
          <w:ilvl w:val="0"/>
          <w:numId w:val="1003"/>
        </w:numPr>
        <w:pStyle w:val="Compact"/>
      </w:pPr>
      <w:r>
        <w:t xml:space="preserve">Hota SS, Sales V, Tomlinson G, et al. Oral vancomycin followed by fecal transplantation versus tapering oral vancomycin treatment for recurrent</w:t>
      </w:r>
      <w:r>
        <w:t xml:space="preserve"> </w:t>
      </w:r>
      <w:r>
        <w:rPr>
          <w:iCs/>
          <w:i/>
        </w:rPr>
        <w:t xml:space="preserve">Clostridium difficile</w:t>
      </w:r>
      <w:r>
        <w:t xml:space="preserve"> </w:t>
      </w:r>
      <w:r>
        <w:t xml:space="preserve">infection: an open-label, randomized controlled trial.</w:t>
      </w:r>
      <w:r>
        <w:t xml:space="preserve"> </w:t>
      </w:r>
      <w:r>
        <w:rPr>
          <w:iCs/>
          <w:i/>
        </w:rPr>
        <w:t xml:space="preserve">Clin Infect Dis</w:t>
      </w:r>
      <w:r>
        <w:t xml:space="preserve">. 2017;64(3):265–271.</w:t>
      </w:r>
    </w:p>
    <w:p>
      <w:pPr>
        <w:numPr>
          <w:ilvl w:val="0"/>
          <w:numId w:val="1003"/>
        </w:numPr>
        <w:pStyle w:val="Compact"/>
      </w:pPr>
      <w:r>
        <w:t xml:space="preserve">Cammarota G, Ianiro G, Tilg H, et al. European consensus conference on faecal microbiota transplantation in clinical practice.</w:t>
      </w:r>
      <w:r>
        <w:t xml:space="preserve"> </w:t>
      </w:r>
      <w:r>
        <w:rPr>
          <w:iCs/>
          <w:i/>
        </w:rPr>
        <w:t xml:space="preserve">Gut</w:t>
      </w:r>
      <w:r>
        <w:t xml:space="preserve">. 2017;66(4):569–580.</w:t>
      </w:r>
    </w:p>
    <w:p>
      <w:pPr>
        <w:numPr>
          <w:ilvl w:val="0"/>
          <w:numId w:val="1003"/>
        </w:numPr>
        <w:pStyle w:val="Compact"/>
      </w:pPr>
      <w:r>
        <w:t xml:space="preserve">Ianiro G, Valerio L, Maida M, et al. Predictors of failure after single faecal microbiota transplantation in patients with recurrent</w:t>
      </w:r>
      <w:r>
        <w:t xml:space="preserve"> </w:t>
      </w:r>
      <w:r>
        <w:rPr>
          <w:iCs/>
          <w:i/>
        </w:rPr>
        <w:t xml:space="preserve">Clostridium difficile</w:t>
      </w:r>
      <w:r>
        <w:t xml:space="preserve"> </w:t>
      </w:r>
      <w:r>
        <w:t xml:space="preserve">infection: results from a 3-year, single-centre cohort study.</w:t>
      </w:r>
      <w:r>
        <w:t xml:space="preserve"> </w:t>
      </w:r>
      <w:r>
        <w:rPr>
          <w:iCs/>
          <w:i/>
        </w:rPr>
        <w:t xml:space="preserve">Clin Microbiol Infect</w:t>
      </w:r>
      <w:r>
        <w:t xml:space="preserve">. 2017;23(5):337.e1–337.e3.</w:t>
      </w:r>
    </w:p>
    <w:p>
      <w:pPr>
        <w:numPr>
          <w:ilvl w:val="0"/>
          <w:numId w:val="1003"/>
        </w:numPr>
        <w:pStyle w:val="Compact"/>
      </w:pPr>
      <w:r>
        <w:t xml:space="preserve">Sonnenburg ED, Sonnenburg JL. The ancestral and industrialized gut microbiota and implications for human health.</w:t>
      </w:r>
      <w:r>
        <w:t xml:space="preserve"> </w:t>
      </w:r>
      <w:r>
        <w:rPr>
          <w:iCs/>
          <w:i/>
        </w:rPr>
        <w:t xml:space="preserve">Nat Rev Microbiol</w:t>
      </w:r>
      <w:r>
        <w:t xml:space="preserve">. 2019;17(6):383–390.</w:t>
      </w:r>
    </w:p>
    <w:p>
      <w:pPr>
        <w:numPr>
          <w:ilvl w:val="0"/>
          <w:numId w:val="1003"/>
        </w:numPr>
        <w:pStyle w:val="Compact"/>
      </w:pPr>
      <w:r>
        <w:t xml:space="preserve">Human Microbiome Project Consortium. Structure, function and diversity of the healthy human microbiome.</w:t>
      </w:r>
      <w:r>
        <w:t xml:space="preserve"> </w:t>
      </w:r>
      <w:r>
        <w:rPr>
          <w:iCs/>
          <w:i/>
        </w:rPr>
        <w:t xml:space="preserve">Nature</w:t>
      </w:r>
      <w:r>
        <w:t xml:space="preserve">. 2012;486(7402):207–214.</w:t>
      </w:r>
    </w:p>
    <w:p>
      <w:pPr>
        <w:numPr>
          <w:ilvl w:val="0"/>
          <w:numId w:val="1003"/>
        </w:numPr>
        <w:pStyle w:val="Compact"/>
      </w:pPr>
      <w:r>
        <w:t xml:space="preserve">Qin J, Li R, Raes J, et al. A human gut microbial gene catalogue established by metagenomic sequencing.</w:t>
      </w:r>
      <w:r>
        <w:t xml:space="preserve"> </w:t>
      </w:r>
      <w:r>
        <w:rPr>
          <w:iCs/>
          <w:i/>
        </w:rPr>
        <w:t xml:space="preserve">Nature</w:t>
      </w:r>
      <w:r>
        <w:t xml:space="preserve">. 2010;464(7285):59–65.</w:t>
      </w:r>
    </w:p>
    <w:p>
      <w:pPr>
        <w:numPr>
          <w:ilvl w:val="0"/>
          <w:numId w:val="1003"/>
        </w:numPr>
        <w:pStyle w:val="Compact"/>
      </w:pPr>
      <w:r>
        <w:t xml:space="preserve">Gilbert JA, Blaser MJ, Caporaso JG, et al. Current understanding of the human microbiome.</w:t>
      </w:r>
      <w:r>
        <w:t xml:space="preserve"> </w:t>
      </w:r>
      <w:r>
        <w:rPr>
          <w:iCs/>
          <w:i/>
        </w:rPr>
        <w:t xml:space="preserve">Nat Med</w:t>
      </w:r>
      <w:r>
        <w:t xml:space="preserve">. 2018;24(4):392–400.</w:t>
      </w:r>
    </w:p>
    <w:p>
      <w:pPr>
        <w:numPr>
          <w:ilvl w:val="0"/>
          <w:numId w:val="1003"/>
        </w:numPr>
        <w:pStyle w:val="Compact"/>
      </w:pPr>
      <w:r>
        <w:t xml:space="preserve">Sonnenburg JL, Bäckhed F. Diet–microbiota interactions as moderators of human metabolism.</w:t>
      </w:r>
      <w:r>
        <w:t xml:space="preserve"> </w:t>
      </w:r>
      <w:r>
        <w:rPr>
          <w:iCs/>
          <w:i/>
        </w:rPr>
        <w:t xml:space="preserve">Nature</w:t>
      </w:r>
      <w:r>
        <w:t xml:space="preserve">. 2016;535(7610):56–64.</w:t>
      </w:r>
    </w:p>
    <w:p>
      <w:pPr>
        <w:numPr>
          <w:ilvl w:val="0"/>
          <w:numId w:val="1003"/>
        </w:numPr>
        <w:pStyle w:val="Compact"/>
      </w:pPr>
      <w:r>
        <w:t xml:space="preserve">Dahl WJ, Rivero Mendoza D, Lambert JM. Diet, nutrients and the microbiome.</w:t>
      </w:r>
      <w:r>
        <w:t xml:space="preserve"> </w:t>
      </w:r>
      <w:r>
        <w:rPr>
          <w:iCs/>
          <w:i/>
        </w:rPr>
        <w:t xml:space="preserve">Prog Mol Biol Transl Sci</w:t>
      </w:r>
      <w:r>
        <w:t xml:space="preserve">. 2020;171:237–263.</w:t>
      </w:r>
    </w:p>
    <w:p>
      <w:pPr>
        <w:numPr>
          <w:ilvl w:val="0"/>
          <w:numId w:val="1003"/>
        </w:numPr>
        <w:pStyle w:val="Compact"/>
      </w:pPr>
      <w:r>
        <w:t xml:space="preserve">Turnbaugh PJ, Ley RE, Mahowald MA, Magrini V, Mardis ER, Gordon JI. An obesity-associated gut microbiome with increased capacity for energy harvest.</w:t>
      </w:r>
      <w:r>
        <w:t xml:space="preserve"> </w:t>
      </w:r>
      <w:r>
        <w:rPr>
          <w:iCs/>
          <w:i/>
        </w:rPr>
        <w:t xml:space="preserve">Nature</w:t>
      </w:r>
      <w:r>
        <w:t xml:space="preserve">. 2006;444(7122):1027–1031.</w:t>
      </w:r>
    </w:p>
    <w:p>
      <w:pPr>
        <w:numPr>
          <w:ilvl w:val="0"/>
          <w:numId w:val="1003"/>
        </w:numPr>
        <w:pStyle w:val="Compact"/>
      </w:pPr>
      <w:r>
        <w:t xml:space="preserve">Gibson GR, Hutkins R, Sanders ME, et al. Expert consensus document: the International Scientific Association for Probiotics and Prebiotics (ISAPP) consensus statement on the definition and scope of prebiotics.</w:t>
      </w:r>
      <w:r>
        <w:t xml:space="preserve"> </w:t>
      </w:r>
      <w:r>
        <w:rPr>
          <w:iCs/>
          <w:i/>
        </w:rPr>
        <w:t xml:space="preserve">Nat Rev Gastroenterol Hepatol</w:t>
      </w:r>
      <w:r>
        <w:t xml:space="preserve">. 2017;14(8):491–502.</w:t>
      </w:r>
    </w:p>
    <w:p>
      <w:pPr>
        <w:numPr>
          <w:ilvl w:val="0"/>
          <w:numId w:val="1003"/>
        </w:numPr>
        <w:pStyle w:val="Compact"/>
      </w:pPr>
      <w:r>
        <w:t xml:space="preserve">Hill C, Guarner F, Reid G, et al. Expert consensus document: the International Scientific Association for Probiotics and Prebiotics consensus statement on the scope and appropriate use of the term probiotic.</w:t>
      </w:r>
      <w:r>
        <w:t xml:space="preserve"> </w:t>
      </w:r>
      <w:r>
        <w:rPr>
          <w:iCs/>
          <w:i/>
        </w:rPr>
        <w:t xml:space="preserve">Nat Rev Gastroenterol Hepatol</w:t>
      </w:r>
      <w:r>
        <w:t xml:space="preserve">. 2014;11(8):506–514.</w:t>
      </w:r>
    </w:p>
    <w:p>
      <w:pPr>
        <w:numPr>
          <w:ilvl w:val="0"/>
          <w:numId w:val="1003"/>
        </w:numPr>
        <w:pStyle w:val="Compact"/>
      </w:pPr>
      <w:r>
        <w:t xml:space="preserve">Swanson KS, Gibson GR, Hutkins R, et al. The International Scientific Association for Probiotics and Prebiotics (ISAPP) consensus statement on the definition and scope of synbiotics.</w:t>
      </w:r>
      <w:r>
        <w:t xml:space="preserve"> </w:t>
      </w:r>
      <w:r>
        <w:rPr>
          <w:iCs/>
          <w:i/>
        </w:rPr>
        <w:t xml:space="preserve">Nat Rev Gastroenterol Hepatol</w:t>
      </w:r>
      <w:r>
        <w:t xml:space="preserve">. 2020;17(11):687–701.</w:t>
      </w:r>
    </w:p>
    <w:p>
      <w:pPr>
        <w:numPr>
          <w:ilvl w:val="0"/>
          <w:numId w:val="1003"/>
        </w:numPr>
        <w:pStyle w:val="Compact"/>
      </w:pPr>
      <w:r>
        <w:t xml:space="preserve">Suez J, Zmora N, Zilberman-Schapira G, et al. Post-antibiotic gut mucosal microbiome reconstitution is impaired by probiotics and improved by autologous FMT.</w:t>
      </w:r>
      <w:r>
        <w:t xml:space="preserve"> </w:t>
      </w:r>
      <w:r>
        <w:rPr>
          <w:iCs/>
          <w:i/>
        </w:rPr>
        <w:t xml:space="preserve">Cell</w:t>
      </w:r>
      <w:r>
        <w:t xml:space="preserve">. 2018;174(6):1406–1423.e16.</w:t>
      </w:r>
    </w:p>
    <w:p>
      <w:pPr>
        <w:numPr>
          <w:ilvl w:val="0"/>
          <w:numId w:val="1003"/>
        </w:numPr>
        <w:pStyle w:val="Compact"/>
      </w:pPr>
      <w:r>
        <w:t xml:space="preserve">Khanna S, Assi M, Lee C, et al. Efficacy and safety of RBX2660 in PUNCH CD3, a phase III, randomized, double-blind, placebo-controlled trial with a Bayesian primary analysis for the prevention of recurrent</w:t>
      </w:r>
      <w:r>
        <w:t xml:space="preserve"> </w:t>
      </w:r>
      <w:r>
        <w:rPr>
          <w:iCs/>
          <w:i/>
        </w:rPr>
        <w:t xml:space="preserve">Clostridioides difficile</w:t>
      </w:r>
      <w:r>
        <w:t xml:space="preserve"> </w:t>
      </w:r>
      <w:r>
        <w:t xml:space="preserve">infection.</w:t>
      </w:r>
      <w:r>
        <w:t xml:space="preserve"> </w:t>
      </w:r>
      <w:r>
        <w:rPr>
          <w:iCs/>
          <w:i/>
        </w:rPr>
        <w:t xml:space="preserve">Drugs</w:t>
      </w:r>
      <w:r>
        <w:t xml:space="preserve">. 2022;82(15):1527–1538.</w:t>
      </w:r>
    </w:p>
    <w:p>
      <w:pPr>
        <w:numPr>
          <w:ilvl w:val="0"/>
          <w:numId w:val="1003"/>
        </w:numPr>
        <w:pStyle w:val="Compact"/>
      </w:pPr>
      <w:r>
        <w:t xml:space="preserve">Haesebrouck F, Pasmans F, Flahou B, et al. Gastric helicobacters in domestic animals and nonhuman primates and their significance for human health.</w:t>
      </w:r>
      <w:r>
        <w:t xml:space="preserve"> </w:t>
      </w:r>
      <w:r>
        <w:rPr>
          <w:iCs/>
          <w:i/>
        </w:rPr>
        <w:t xml:space="preserve">Clin Microbiol Rev</w:t>
      </w:r>
      <w:r>
        <w:t xml:space="preserve">. 2009;22(2):202–223.</w:t>
      </w:r>
    </w:p>
    <w:p>
      <w:pPr>
        <w:numPr>
          <w:ilvl w:val="0"/>
          <w:numId w:val="1003"/>
        </w:numPr>
        <w:pStyle w:val="Compact"/>
      </w:pPr>
      <w:r>
        <w:t xml:space="preserve">Solnick JV, Schauer DB. Emergence of diverse</w:t>
      </w:r>
      <w:r>
        <w:t xml:space="preserve"> </w:t>
      </w:r>
      <w:r>
        <w:rPr>
          <w:iCs/>
          <w:i/>
        </w:rPr>
        <w:t xml:space="preserve">Helicobacter</w:t>
      </w:r>
      <w:r>
        <w:t xml:space="preserve"> </w:t>
      </w:r>
      <w:r>
        <w:t xml:space="preserve">species in the pathogenesis of gastric and enterohepatic diseases.</w:t>
      </w:r>
      <w:r>
        <w:t xml:space="preserve"> </w:t>
      </w:r>
      <w:r>
        <w:rPr>
          <w:iCs/>
          <w:i/>
        </w:rPr>
        <w:t xml:space="preserve">Clin Microbiol Rev</w:t>
      </w:r>
      <w:r>
        <w:t xml:space="preserve">. 2001;14(1):59–97.</w:t>
      </w:r>
    </w:p>
    <w:p>
      <w:pPr>
        <w:numPr>
          <w:ilvl w:val="0"/>
          <w:numId w:val="1003"/>
        </w:numPr>
        <w:pStyle w:val="Compact"/>
      </w:pPr>
      <w:r>
        <w:t xml:space="preserve">Weese JS.</w:t>
      </w:r>
      <w:r>
        <w:t xml:space="preserve"> </w:t>
      </w:r>
      <w:r>
        <w:rPr>
          <w:iCs/>
          <w:i/>
        </w:rPr>
        <w:t xml:space="preserve">Clostridium</w:t>
      </w:r>
      <w:r>
        <w:t xml:space="preserve"> </w:t>
      </w:r>
      <w:r>
        <w:t xml:space="preserve">(Clostridioides)</w:t>
      </w:r>
      <w:r>
        <w:t xml:space="preserve"> </w:t>
      </w:r>
      <w:r>
        <w:rPr>
          <w:iCs/>
          <w:i/>
        </w:rPr>
        <w:t xml:space="preserve">difficile</w:t>
      </w:r>
      <w:r>
        <w:t xml:space="preserve"> </w:t>
      </w:r>
      <w:r>
        <w:t xml:space="preserve">in animals.</w:t>
      </w:r>
      <w:r>
        <w:t xml:space="preserve"> </w:t>
      </w:r>
      <w:r>
        <w:rPr>
          <w:iCs/>
          <w:i/>
        </w:rPr>
        <w:t xml:space="preserve">J Vet Diagn Invest</w:t>
      </w:r>
      <w:r>
        <w:t xml:space="preserve">. 2020;32(2):213–221.</w:t>
      </w:r>
    </w:p>
    <w:p>
      <w:pPr>
        <w:numPr>
          <w:ilvl w:val="0"/>
          <w:numId w:val="1003"/>
        </w:numPr>
        <w:pStyle w:val="Compact"/>
      </w:pPr>
      <w:r>
        <w:t xml:space="preserve">Weese JS, Staempfli HR, Prescott JF. A prospective study of the roles of clostridium difficile and enterotoxigenic</w:t>
      </w:r>
      <w:r>
        <w:t xml:space="preserve"> </w:t>
      </w:r>
      <w:r>
        <w:rPr>
          <w:iCs/>
          <w:i/>
        </w:rPr>
        <w:t xml:space="preserve">Clostridium perfringens</w:t>
      </w:r>
      <w:r>
        <w:t xml:space="preserve"> </w:t>
      </w:r>
      <w:r>
        <w:t xml:space="preserve">in equine diarrhoea.</w:t>
      </w:r>
      <w:r>
        <w:t xml:space="preserve"> </w:t>
      </w:r>
      <w:r>
        <w:rPr>
          <w:iCs/>
          <w:i/>
        </w:rPr>
        <w:t xml:space="preserve">Equine Vet J</w:t>
      </w:r>
      <w:r>
        <w:t xml:space="preserve">. 2001;33(4):403–407.</w:t>
      </w:r>
    </w:p>
    <w:p>
      <w:pPr>
        <w:numPr>
          <w:ilvl w:val="0"/>
          <w:numId w:val="1003"/>
        </w:numPr>
        <w:pStyle w:val="Compact"/>
      </w:pPr>
      <w:r>
        <w:t xml:space="preserve">Rodriguez C, Taminiau B, Van Broeck J, Avesani V, Delmée M, Daube G.</w:t>
      </w:r>
      <w:r>
        <w:t xml:space="preserve"> </w:t>
      </w:r>
      <w:r>
        <w:rPr>
          <w:iCs/>
          <w:i/>
        </w:rPr>
        <w:t xml:space="preserve">Clostridium difficile</w:t>
      </w:r>
      <w:r>
        <w:t xml:space="preserve"> </w:t>
      </w:r>
      <w:r>
        <w:t xml:space="preserve">infection and colonization in animals and humans.</w:t>
      </w:r>
      <w:r>
        <w:t xml:space="preserve"> </w:t>
      </w:r>
      <w:r>
        <w:rPr>
          <w:iCs/>
          <w:i/>
        </w:rPr>
        <w:t xml:space="preserve">Anaerobe</w:t>
      </w:r>
      <w:r>
        <w:t xml:space="preserve">. 2016;41:26–35.</w:t>
      </w:r>
    </w:p>
    <w:p>
      <w:pPr>
        <w:numPr>
          <w:ilvl w:val="0"/>
          <w:numId w:val="1003"/>
        </w:numPr>
        <w:pStyle w:val="Compact"/>
      </w:pPr>
      <w:r>
        <w:t xml:space="preserve">Smits WK, Lyras D, Lacy DB, Wilcox MH, Kuijper EJ.</w:t>
      </w:r>
      <w:r>
        <w:t xml:space="preserve"> </w:t>
      </w:r>
      <w:r>
        <w:rPr>
          <w:iCs/>
          <w:i/>
        </w:rPr>
        <w:t xml:space="preserve">Clostridium difficile</w:t>
      </w:r>
      <w:r>
        <w:t xml:space="preserve"> </w:t>
      </w:r>
      <w:r>
        <w:t xml:space="preserve">infection.</w:t>
      </w:r>
      <w:r>
        <w:t xml:space="preserve"> </w:t>
      </w:r>
      <w:r>
        <w:rPr>
          <w:iCs/>
          <w:i/>
        </w:rPr>
        <w:t xml:space="preserve">Nat Rev Dis Primers</w:t>
      </w:r>
      <w:r>
        <w:t xml:space="preserve">. 2016;2:16020.</w:t>
      </w:r>
    </w:p>
    <w:p>
      <w:pPr>
        <w:numPr>
          <w:ilvl w:val="0"/>
          <w:numId w:val="1003"/>
        </w:numPr>
        <w:pStyle w:val="Compact"/>
      </w:pPr>
      <w:r>
        <w:t xml:space="preserve">Baverud V, Gustafsson A, Franklin A, Aspan A, Gunnarsson A.</w:t>
      </w:r>
      <w:r>
        <w:t xml:space="preserve"> </w:t>
      </w:r>
      <w:r>
        <w:rPr>
          <w:iCs/>
          <w:i/>
        </w:rPr>
        <w:t xml:space="preserve">Clostridium difficile</w:t>
      </w:r>
      <w:r>
        <w:t xml:space="preserve"> </w:t>
      </w:r>
      <w:r>
        <w:t xml:space="preserve">associated with acute colitis in mares when their foals are treated with erythromycin and rifampicin for</w:t>
      </w:r>
      <w:r>
        <w:t xml:space="preserve"> </w:t>
      </w:r>
      <w:r>
        <w:rPr>
          <w:iCs/>
          <w:i/>
        </w:rPr>
        <w:t xml:space="preserve">Rhodococcus equi</w:t>
      </w:r>
      <w:r>
        <w:t xml:space="preserve"> </w:t>
      </w:r>
      <w:r>
        <w:t xml:space="preserve">pneumonia.</w:t>
      </w:r>
      <w:r>
        <w:t xml:space="preserve"> </w:t>
      </w:r>
      <w:r>
        <w:rPr>
          <w:iCs/>
          <w:i/>
        </w:rPr>
        <w:t xml:space="preserve">Equine Vet J</w:t>
      </w:r>
      <w:r>
        <w:t xml:space="preserve">. 1998;30(6):482–488.</w:t>
      </w:r>
    </w:p>
    <w:p>
      <w:pPr>
        <w:numPr>
          <w:ilvl w:val="0"/>
          <w:numId w:val="1003"/>
        </w:numPr>
        <w:pStyle w:val="Compact"/>
      </w:pPr>
      <w:r>
        <w:t xml:space="preserve">Riley LW, Remis RS, Helgerson SD, et al. Hemorrhagic colitis associated with a rare</w:t>
      </w:r>
      <w:r>
        <w:t xml:space="preserve"> </w:t>
      </w:r>
      <w:r>
        <w:rPr>
          <w:iCs/>
          <w:i/>
        </w:rPr>
        <w:t xml:space="preserve">Escherichia coli</w:t>
      </w:r>
      <w:r>
        <w:t xml:space="preserve"> </w:t>
      </w:r>
      <w:r>
        <w:t xml:space="preserve">serotype.</w:t>
      </w:r>
      <w:r>
        <w:t xml:space="preserve"> </w:t>
      </w:r>
      <w:r>
        <w:rPr>
          <w:iCs/>
          <w:i/>
        </w:rPr>
        <w:t xml:space="preserve">N Engl J Med</w:t>
      </w:r>
      <w:r>
        <w:t xml:space="preserve">. 1983;308(12):681–685.</w:t>
      </w:r>
    </w:p>
    <w:p>
      <w:pPr>
        <w:numPr>
          <w:ilvl w:val="0"/>
          <w:numId w:val="1003"/>
        </w:numPr>
        <w:pStyle w:val="Compact"/>
      </w:pPr>
      <w:r>
        <w:t xml:space="preserve">Johnson JR, Russo TA. Extraintestinal pathogenic</w:t>
      </w:r>
      <w:r>
        <w:t xml:space="preserve"> </w:t>
      </w:r>
      <w:r>
        <w:rPr>
          <w:iCs/>
          <w:i/>
        </w:rPr>
        <w:t xml:space="preserve">Escherichia coli</w:t>
      </w:r>
      <w:r>
        <w:t xml:space="preserve">:</w:t>
      </w:r>
      <w:r>
        <w:t xml:space="preserve"> </w:t>
      </w:r>
      <w:r>
        <w:t xml:space="preserve">“</w:t>
      </w:r>
      <w:r>
        <w:t xml:space="preserve">the other bad</w:t>
      </w:r>
      <w:r>
        <w:t xml:space="preserve"> </w:t>
      </w:r>
      <w:r>
        <w:rPr>
          <w:iCs/>
          <w:i/>
        </w:rPr>
        <w:t xml:space="preserve">E. coli</w:t>
      </w:r>
      <w:r>
        <w:t xml:space="preserve">”</w:t>
      </w:r>
      <w:r>
        <w:t xml:space="preserve">.</w:t>
      </w:r>
      <w:r>
        <w:t xml:space="preserve"> </w:t>
      </w:r>
      <w:r>
        <w:rPr>
          <w:iCs/>
          <w:i/>
        </w:rPr>
        <w:t xml:space="preserve">J Lab Clin Med</w:t>
      </w:r>
      <w:r>
        <w:t xml:space="preserve">. 2002;139(3):155–162.</w:t>
      </w:r>
    </w:p>
    <w:p>
      <w:pPr>
        <w:numPr>
          <w:ilvl w:val="0"/>
          <w:numId w:val="1003"/>
        </w:numPr>
        <w:pStyle w:val="Compact"/>
      </w:pPr>
      <w:r>
        <w:t xml:space="preserve">Pitout JD, Laupland KB. Extended-spectrum β-lactamase-producing Enterobacteriaceae: an emerging public-health concern.</w:t>
      </w:r>
      <w:r>
        <w:t xml:space="preserve"> </w:t>
      </w:r>
      <w:r>
        <w:rPr>
          <w:iCs/>
          <w:i/>
        </w:rPr>
        <w:t xml:space="preserve">Lancet Infect Dis</w:t>
      </w:r>
      <w:r>
        <w:t xml:space="preserve">. 2008;8(3):159–166.</w:t>
      </w:r>
    </w:p>
    <w:p>
      <w:pPr>
        <w:numPr>
          <w:ilvl w:val="0"/>
          <w:numId w:val="1003"/>
        </w:numPr>
        <w:pStyle w:val="Compact"/>
      </w:pPr>
      <w:r>
        <w:t xml:space="preserve">Lazarus B, Lloyd DH, Bhatt DL, et al. Companion animals: a reservoir for ESBL-producing Enterobacteriaceae.</w:t>
      </w:r>
      <w:r>
        <w:t xml:space="preserve"> </w:t>
      </w:r>
      <w:r>
        <w:rPr>
          <w:iCs/>
          <w:i/>
        </w:rPr>
        <w:t xml:space="preserve">J Antimicrob Chemother</w:t>
      </w:r>
      <w:r>
        <w:t xml:space="preserve">. 2015;70(9):2499–2505.</w:t>
      </w:r>
    </w:p>
    <w:p>
      <w:pPr>
        <w:numPr>
          <w:ilvl w:val="0"/>
          <w:numId w:val="1003"/>
        </w:numPr>
        <w:pStyle w:val="Compact"/>
      </w:pPr>
      <w:r>
        <w:t xml:space="preserve">Liu YY, Wang Y, Walsh TR, et al. Emergence of plasmid-mediated colistin resistance mechanism MCR-1 in animals and human beings in China: a microbiological and molecular biological study.</w:t>
      </w:r>
      <w:r>
        <w:t xml:space="preserve"> </w:t>
      </w:r>
      <w:r>
        <w:rPr>
          <w:iCs/>
          <w:i/>
        </w:rPr>
        <w:t xml:space="preserve">Lancet Infect Dis</w:t>
      </w:r>
      <w:r>
        <w:t xml:space="preserve">. 2016;16(2):161–168.</w:t>
      </w:r>
    </w:p>
    <w:p>
      <w:pPr>
        <w:numPr>
          <w:ilvl w:val="0"/>
          <w:numId w:val="1003"/>
        </w:numPr>
        <w:pStyle w:val="Compact"/>
      </w:pPr>
      <w:r>
        <w:t xml:space="preserve">Walsh TR. Emerging carbapenemases: a global perspective.</w:t>
      </w:r>
      <w:r>
        <w:t xml:space="preserve"> </w:t>
      </w:r>
      <w:r>
        <w:rPr>
          <w:iCs/>
          <w:i/>
        </w:rPr>
        <w:t xml:space="preserve">Int J Antimicrob Agents</w:t>
      </w:r>
      <w:r>
        <w:t xml:space="preserve">. 2010;36 Suppl 3:S8–S14.</w:t>
      </w:r>
    </w:p>
    <w:p>
      <w:pPr>
        <w:numPr>
          <w:ilvl w:val="0"/>
          <w:numId w:val="1003"/>
        </w:numPr>
        <w:pStyle w:val="Compact"/>
      </w:pPr>
      <w:r>
        <w:t xml:space="preserve">Van Boeckel TP, Pires J, Silvester R, et al. Global trends in antimicrobial resistance in animals in low- and middle-income countries.</w:t>
      </w:r>
      <w:r>
        <w:t xml:space="preserve"> </w:t>
      </w:r>
      <w:r>
        <w:rPr>
          <w:iCs/>
          <w:i/>
        </w:rPr>
        <w:t xml:space="preserve">Science</w:t>
      </w:r>
      <w:r>
        <w:t xml:space="preserve">. 2019;365(6459):eaaw1944.</w:t>
      </w:r>
    </w:p>
    <w:p>
      <w:pPr>
        <w:numPr>
          <w:ilvl w:val="0"/>
          <w:numId w:val="1003"/>
        </w:numPr>
        <w:pStyle w:val="Compact"/>
      </w:pPr>
      <w:r>
        <w:t xml:space="preserve">Gottschalk M. Streptococcosis. In: Zimmerman JJ, Karriker LA, Ramirez A, Schwartz KJ, Stevenson GW, eds. </w:t>
      </w:r>
      <w:r>
        <w:rPr>
          <w:iCs/>
          <w:i/>
        </w:rPr>
        <w:t xml:space="preserve">Diseases of Swine</w:t>
      </w:r>
      <w:r>
        <w:t xml:space="preserve">. 10th ed. Ames, IA: Wiley-Blackwell; 2012:841–855.</w:t>
      </w:r>
    </w:p>
    <w:p>
      <w:pPr>
        <w:numPr>
          <w:ilvl w:val="0"/>
          <w:numId w:val="1003"/>
        </w:numPr>
        <w:pStyle w:val="Compact"/>
      </w:pPr>
      <w:r>
        <w:t xml:space="preserve">Lun ZR, Wang QP, Chen XG, Li AX, Zhu XQ.</w:t>
      </w:r>
      <w:r>
        <w:t xml:space="preserve"> </w:t>
      </w:r>
      <w:r>
        <w:rPr>
          <w:iCs/>
          <w:i/>
        </w:rPr>
        <w:t xml:space="preserve">Streptococcus suis</w:t>
      </w:r>
      <w:r>
        <w:t xml:space="preserve">: an emerging zoonotic pathogen.</w:t>
      </w:r>
      <w:r>
        <w:t xml:space="preserve"> </w:t>
      </w:r>
      <w:r>
        <w:rPr>
          <w:iCs/>
          <w:i/>
        </w:rPr>
        <w:t xml:space="preserve">Lancet Infect Dis</w:t>
      </w:r>
      <w:r>
        <w:t xml:space="preserve">. 2007;7(3):201–209.</w:t>
      </w:r>
    </w:p>
    <w:p>
      <w:pPr>
        <w:numPr>
          <w:ilvl w:val="0"/>
          <w:numId w:val="1003"/>
        </w:numPr>
        <w:pStyle w:val="Compact"/>
      </w:pPr>
      <w:r>
        <w:t xml:space="preserve">Yu H, Jing H, Chen Z, et al. Human</w:t>
      </w:r>
      <w:r>
        <w:t xml:space="preserve"> </w:t>
      </w:r>
      <w:r>
        <w:rPr>
          <w:iCs/>
          <w:i/>
        </w:rPr>
        <w:t xml:space="preserve">Streptococcus suis</w:t>
      </w:r>
      <w:r>
        <w:t xml:space="preserve"> </w:t>
      </w:r>
      <w:r>
        <w:t xml:space="preserve">outbreak, Sichuan, China.</w:t>
      </w:r>
      <w:r>
        <w:t xml:space="preserve"> </w:t>
      </w:r>
      <w:r>
        <w:rPr>
          <w:iCs/>
          <w:i/>
        </w:rPr>
        <w:t xml:space="preserve">Emerg Infect Dis</w:t>
      </w:r>
      <w:r>
        <w:t xml:space="preserve">. 2006;12(6):914–920.</w:t>
      </w:r>
    </w:p>
    <w:p>
      <w:pPr>
        <w:numPr>
          <w:ilvl w:val="0"/>
          <w:numId w:val="1003"/>
        </w:numPr>
        <w:pStyle w:val="Compact"/>
      </w:pPr>
      <w:r>
        <w:t xml:space="preserve">Fittipaldi N, Segura M, Grenier D, Gottschalk M. Virulence factors involved in the pathogenesis of the infection caused by the swine pathogen and zoonotic agent</w:t>
      </w:r>
      <w:r>
        <w:t xml:space="preserve"> </w:t>
      </w:r>
      <w:r>
        <w:rPr>
          <w:iCs/>
          <w:i/>
        </w:rPr>
        <w:t xml:space="preserve">Streptococcus suis</w:t>
      </w:r>
      <w:r>
        <w:t xml:space="preserve">.</w:t>
      </w:r>
      <w:r>
        <w:t xml:space="preserve"> </w:t>
      </w:r>
      <w:r>
        <w:rPr>
          <w:iCs/>
          <w:i/>
        </w:rPr>
        <w:t xml:space="preserve">Future Microbiol</w:t>
      </w:r>
      <w:r>
        <w:t xml:space="preserve">. 2012;7(2):259–279.</w:t>
      </w:r>
    </w:p>
    <w:p>
      <w:pPr>
        <w:numPr>
          <w:ilvl w:val="0"/>
          <w:numId w:val="1003"/>
        </w:numPr>
        <w:pStyle w:val="Compact"/>
      </w:pPr>
      <w:r>
        <w:t xml:space="preserve">Boost MV, O’Donoghue MM, James A. Prevalence of</w:t>
      </w:r>
      <w:r>
        <w:t xml:space="preserve"> </w:t>
      </w:r>
      <w:r>
        <w:rPr>
          <w:iCs/>
          <w:i/>
        </w:rPr>
        <w:t xml:space="preserve">Staphylococcus aureus</w:t>
      </w:r>
      <w:r>
        <w:t xml:space="preserve"> </w:t>
      </w:r>
      <w:r>
        <w:t xml:space="preserve">carriage among dogs and their owners.</w:t>
      </w:r>
      <w:r>
        <w:t xml:space="preserve"> </w:t>
      </w:r>
      <w:r>
        <w:rPr>
          <w:iCs/>
          <w:i/>
        </w:rPr>
        <w:t xml:space="preserve">Epidemiol Infect</w:t>
      </w:r>
      <w:r>
        <w:t xml:space="preserve">. 2008;136(7):953–964.</w:t>
      </w:r>
    </w:p>
    <w:p>
      <w:pPr>
        <w:numPr>
          <w:ilvl w:val="0"/>
          <w:numId w:val="1003"/>
        </w:numPr>
        <w:pStyle w:val="Compact"/>
      </w:pPr>
      <w:r>
        <w:t xml:space="preserve">Pomba C, Rantala M, Greko C, et al. Public health risk of antimicrobial resistance transfer from companion animals.</w:t>
      </w:r>
      <w:r>
        <w:t xml:space="preserve"> </w:t>
      </w:r>
      <w:r>
        <w:rPr>
          <w:iCs/>
          <w:i/>
        </w:rPr>
        <w:t xml:space="preserve">J Antimicrob Chemother</w:t>
      </w:r>
      <w:r>
        <w:t xml:space="preserve">. 2017;72(4):957–968.</w:t>
      </w:r>
    </w:p>
    <w:p>
      <w:pPr>
        <w:numPr>
          <w:ilvl w:val="0"/>
          <w:numId w:val="1003"/>
        </w:numPr>
        <w:pStyle w:val="Compact"/>
      </w:pPr>
      <w:r>
        <w:t xml:space="preserve">Windahl U, Holst BS, Nyman A, Grönlund U, Bengtsson B. Characterisation of bacterial growth and antimicrobial susceptibility patterns in canine urinary tract infections.</w:t>
      </w:r>
      <w:r>
        <w:t xml:space="preserve"> </w:t>
      </w:r>
      <w:r>
        <w:rPr>
          <w:iCs/>
          <w:i/>
        </w:rPr>
        <w:t xml:space="preserve">BMC Vet Res</w:t>
      </w:r>
      <w:r>
        <w:t xml:space="preserve">. 2014;10:217.</w:t>
      </w:r>
    </w:p>
    <w:p>
      <w:pPr>
        <w:numPr>
          <w:ilvl w:val="0"/>
          <w:numId w:val="1003"/>
        </w:numPr>
        <w:pStyle w:val="Compact"/>
      </w:pPr>
      <w:r>
        <w:t xml:space="preserve">van Duijkeren E, Wolfhagen MJ, Box AT, Heck ME, Wannet WJ, Fluit AC. Human-to-dog transmission of methicillin-resistant</w:t>
      </w:r>
      <w:r>
        <w:t xml:space="preserve"> </w:t>
      </w:r>
      <w:r>
        <w:rPr>
          <w:iCs/>
          <w:i/>
        </w:rPr>
        <w:t xml:space="preserve">Staphylococcus aureus</w:t>
      </w:r>
      <w:r>
        <w:t xml:space="preserve">.</w:t>
      </w:r>
      <w:r>
        <w:t xml:space="preserve"> </w:t>
      </w:r>
      <w:r>
        <w:rPr>
          <w:iCs/>
          <w:i/>
        </w:rPr>
        <w:t xml:space="preserve">Emerg Infect Dis</w:t>
      </w:r>
      <w:r>
        <w:t xml:space="preserve">. 2004;10(12):2235–2236.</w:t>
      </w:r>
    </w:p>
    <w:p>
      <w:pPr>
        <w:numPr>
          <w:ilvl w:val="0"/>
          <w:numId w:val="1003"/>
        </w:numPr>
        <w:pStyle w:val="Compact"/>
      </w:pPr>
      <w:r>
        <w:t xml:space="preserve">Graveland H, Duim B, van Duijkeren E, Heederik D, Wagenaar JA. Livestock-associated methicillin-resistant</w:t>
      </w:r>
      <w:r>
        <w:t xml:space="preserve"> </w:t>
      </w:r>
      <w:r>
        <w:rPr>
          <w:iCs/>
          <w:i/>
        </w:rPr>
        <w:t xml:space="preserve">Staphylococcus aureus</w:t>
      </w:r>
      <w:r>
        <w:t xml:space="preserve"> </w:t>
      </w:r>
      <w:r>
        <w:t xml:space="preserve">in animals and humans.</w:t>
      </w:r>
      <w:r>
        <w:t xml:space="preserve"> </w:t>
      </w:r>
      <w:r>
        <w:rPr>
          <w:iCs/>
          <w:i/>
        </w:rPr>
        <w:t xml:space="preserve">Int J Med Microbiol</w:t>
      </w:r>
      <w:r>
        <w:t xml:space="preserve">. 2011;301(8):630–634.</w:t>
      </w:r>
    </w:p>
    <w:p>
      <w:pPr>
        <w:numPr>
          <w:ilvl w:val="0"/>
          <w:numId w:val="1003"/>
        </w:numPr>
        <w:pStyle w:val="Compact"/>
      </w:pPr>
      <w:r>
        <w:t xml:space="preserve">Forsberg KJ, Reyes A, Wang B, Selleck EM, Sommer MO, Bhatt DL. The shared antibiotic resistome of soil bacteria and human pathogens.</w:t>
      </w:r>
      <w:r>
        <w:t xml:space="preserve"> </w:t>
      </w:r>
      <w:r>
        <w:rPr>
          <w:iCs/>
          <w:i/>
        </w:rPr>
        <w:t xml:space="preserve">Science</w:t>
      </w:r>
      <w:r>
        <w:t xml:space="preserve">. 2012;337(6098):1107–1111.</w:t>
      </w:r>
    </w:p>
    <w:p>
      <w:pPr>
        <w:numPr>
          <w:ilvl w:val="0"/>
          <w:numId w:val="1003"/>
        </w:numPr>
        <w:pStyle w:val="Compact"/>
      </w:pPr>
      <w:r>
        <w:t xml:space="preserve">Martínez JL, Coque TM, Baquero F. What is a resistance gene? Ranking risk in resistomes.</w:t>
      </w:r>
      <w:r>
        <w:t xml:space="preserve"> </w:t>
      </w:r>
      <w:r>
        <w:rPr>
          <w:iCs/>
          <w:i/>
        </w:rPr>
        <w:t xml:space="preserve">Nat Rev Microbiol</w:t>
      </w:r>
      <w:r>
        <w:t xml:space="preserve">. 2015;13(2):116–123.</w:t>
      </w:r>
    </w:p>
    <w:p>
      <w:pPr>
        <w:numPr>
          <w:ilvl w:val="0"/>
          <w:numId w:val="1003"/>
        </w:numPr>
        <w:pStyle w:val="Compact"/>
      </w:pPr>
      <w:r>
        <w:t xml:space="preserve">Kristiansson E, Fick J, Janzon A, et al. Pyrosequencing of antibiotic-contaminated river sediments reveals high levels of resistance and gene transfer elements.</w:t>
      </w:r>
      <w:r>
        <w:t xml:space="preserve"> </w:t>
      </w:r>
      <w:r>
        <w:rPr>
          <w:iCs/>
          <w:i/>
        </w:rPr>
        <w:t xml:space="preserve">PLoS One</w:t>
      </w:r>
      <w:r>
        <w:t xml:space="preserve">. 2011;6(2):e17038.</w:t>
      </w:r>
    </w:p>
    <w:p>
      <w:pPr>
        <w:numPr>
          <w:ilvl w:val="0"/>
          <w:numId w:val="1003"/>
        </w:numPr>
        <w:pStyle w:val="Compact"/>
      </w:pPr>
      <w:r>
        <w:t xml:space="preserve">Weese JS, Hershberger E. Fecal microbiota transplantation in veterinary medicine.</w:t>
      </w:r>
      <w:r>
        <w:t xml:space="preserve"> </w:t>
      </w:r>
      <w:r>
        <w:rPr>
          <w:iCs/>
          <w:i/>
        </w:rPr>
        <w:t xml:space="preserve">Vet Clin North Am Small Anim Pract</w:t>
      </w:r>
      <w:r>
        <w:t xml:space="preserve">. 2019;49(5):923–940.</w:t>
      </w:r>
    </w:p>
    <w:p>
      <w:pPr>
        <w:numPr>
          <w:ilvl w:val="0"/>
          <w:numId w:val="1003"/>
        </w:numPr>
        <w:pStyle w:val="Compact"/>
      </w:pPr>
      <w:r>
        <w:t xml:space="preserve">Dowd SE, Callaway TR, Wolcott RD, et al. Evaluation of the bacterial diversity in the feces of cattle using 16S rDNA bacterial tag-encoded FLX amplicon pyrosequencing (bTEFAP).</w:t>
      </w:r>
      <w:r>
        <w:t xml:space="preserve"> </w:t>
      </w:r>
      <w:r>
        <w:rPr>
          <w:iCs/>
          <w:i/>
        </w:rPr>
        <w:t xml:space="preserve">BMC Microbiol</w:t>
      </w:r>
      <w:r>
        <w:t xml:space="preserve">. 2008;8:125.</w:t>
      </w:r>
    </w:p>
    <w:p>
      <w:pPr>
        <w:numPr>
          <w:ilvl w:val="0"/>
          <w:numId w:val="1003"/>
        </w:numPr>
        <w:pStyle w:val="Compact"/>
      </w:pPr>
      <w:r>
        <w:t xml:space="preserve">Schloss PD, Westcott SL, Ryabin T, et al. Introducing mothur: open-source, platform-independent, community-supported software for describing and comparing microbial communities.</w:t>
      </w:r>
      <w:r>
        <w:t xml:space="preserve"> </w:t>
      </w:r>
      <w:r>
        <w:rPr>
          <w:iCs/>
          <w:i/>
        </w:rPr>
        <w:t xml:space="preserve">Appl Environ Microbiol</w:t>
      </w:r>
      <w:r>
        <w:t xml:space="preserve">. 2009;75(23):7537–7541.</w:t>
      </w:r>
    </w:p>
    <w:p>
      <w:pPr>
        <w:numPr>
          <w:ilvl w:val="0"/>
          <w:numId w:val="1003"/>
        </w:numPr>
        <w:pStyle w:val="Compact"/>
      </w:pPr>
      <w:r>
        <w:t xml:space="preserve">Suchodolski JS, Camacho J, Steiner JM. Analysis of bacterial diversity in the canine duodenum, jejunum, ileum, and colon by comparative 16S rRNA gene analysis.</w:t>
      </w:r>
      <w:r>
        <w:t xml:space="preserve"> </w:t>
      </w:r>
      <w:r>
        <w:rPr>
          <w:iCs/>
          <w:i/>
        </w:rPr>
        <w:t xml:space="preserve">FEMS Microbiol Ecol</w:t>
      </w:r>
      <w:r>
        <w:t xml:space="preserve">. 2008;66(3):567–578.</w:t>
      </w:r>
    </w:p>
    <w:p>
      <w:pPr>
        <w:numPr>
          <w:ilvl w:val="0"/>
          <w:numId w:val="1003"/>
        </w:numPr>
        <w:pStyle w:val="Compact"/>
      </w:pPr>
      <w:r>
        <w:t xml:space="preserve">Giatsis C, Sipkema D, Smidt H, et al. The colonization dynamics of the gut microbiota in tilapia larvae.</w:t>
      </w:r>
      <w:r>
        <w:t xml:space="preserve"> </w:t>
      </w:r>
      <w:r>
        <w:rPr>
          <w:iCs/>
          <w:i/>
        </w:rPr>
        <w:t xml:space="preserve">PLoS One</w:t>
      </w:r>
      <w:r>
        <w:t xml:space="preserve">. 2015;10(7):e0132687.</w:t>
      </w:r>
    </w:p>
    <w:p>
      <w:pPr>
        <w:numPr>
          <w:ilvl w:val="0"/>
          <w:numId w:val="1003"/>
        </w:numPr>
        <w:pStyle w:val="Compact"/>
      </w:pPr>
      <w:r>
        <w:t xml:space="preserve">Witte W, Strommenger B, Stanek C, Cuny C. Methicillin-resistant</w:t>
      </w:r>
      <w:r>
        <w:t xml:space="preserve"> </w:t>
      </w:r>
      <w:r>
        <w:rPr>
          <w:iCs/>
          <w:i/>
        </w:rPr>
        <w:t xml:space="preserve">Staphylococcus aureus</w:t>
      </w:r>
      <w:r>
        <w:t xml:space="preserve"> </w:t>
      </w:r>
      <w:r>
        <w:t xml:space="preserve">ST398 in humans and animals, Central Europe.</w:t>
      </w:r>
      <w:r>
        <w:t xml:space="preserve"> </w:t>
      </w:r>
      <w:r>
        <w:rPr>
          <w:iCs/>
          <w:i/>
        </w:rPr>
        <w:t xml:space="preserve">Emerg Infect Dis</w:t>
      </w:r>
      <w:r>
        <w:t xml:space="preserve">. 2007;13(2):255–258.</w:t>
      </w:r>
    </w:p>
    <w:p>
      <w:pPr>
        <w:numPr>
          <w:ilvl w:val="0"/>
          <w:numId w:val="1003"/>
        </w:numPr>
        <w:pStyle w:val="Compact"/>
      </w:pPr>
      <w:r>
        <w:t xml:space="preserve">Li F, Henderson G, Sun X, Cox F, Janssen PH, Guan LL. Taxonomic assessment of rumen microbiota using total RNA and targeted amplicon sequencing approaches.</w:t>
      </w:r>
      <w:r>
        <w:t xml:space="preserve"> </w:t>
      </w:r>
      <w:r>
        <w:rPr>
          <w:iCs/>
          <w:i/>
        </w:rPr>
        <w:t xml:space="preserve">Front Microbiol</w:t>
      </w:r>
      <w:r>
        <w:t xml:space="preserve">. 2016;7:987.</w:t>
      </w:r>
    </w:p>
    <w:p>
      <w:pPr>
        <w:numPr>
          <w:ilvl w:val="0"/>
          <w:numId w:val="1003"/>
        </w:numPr>
        <w:pStyle w:val="Compact"/>
      </w:pPr>
      <w:r>
        <w:t xml:space="preserve">Creevey CJ, Kelly WJ, Henderson G, Leahy SC. Determining the culturability of the rumen bacterial microbiome.</w:t>
      </w:r>
      <w:r>
        <w:t xml:space="preserve"> </w:t>
      </w:r>
      <w:r>
        <w:rPr>
          <w:iCs/>
          <w:i/>
        </w:rPr>
        <w:t xml:space="preserve">Microb Biotechnol</w:t>
      </w:r>
      <w:r>
        <w:t xml:space="preserve">. 2014;7(5):467–479.</w:t>
      </w:r>
    </w:p>
    <w:p>
      <w:pPr>
        <w:numPr>
          <w:ilvl w:val="0"/>
          <w:numId w:val="1003"/>
        </w:numPr>
        <w:pStyle w:val="Compact"/>
      </w:pPr>
      <w:r>
        <w:t xml:space="preserve">Sugita K, Yanuma N, Ohno H, et al. Oral faecal microbiota transplantation for the treatment of</w:t>
      </w:r>
      <w:r>
        <w:t xml:space="preserve"> </w:t>
      </w:r>
      <w:r>
        <w:rPr>
          <w:iCs/>
          <w:i/>
        </w:rPr>
        <w:t xml:space="preserve">Clostridium difficile</w:t>
      </w:r>
      <w:r>
        <w:t xml:space="preserve">-associated diarrhoea in a dog: a case report.</w:t>
      </w:r>
      <w:r>
        <w:t xml:space="preserve"> </w:t>
      </w:r>
      <w:r>
        <w:rPr>
          <w:iCs/>
          <w:i/>
        </w:rPr>
        <w:t xml:space="preserve">BMC Vet Res</w:t>
      </w:r>
      <w:r>
        <w:t xml:space="preserve">. 2019;15(1):11.</w:t>
      </w:r>
    </w:p>
    <w:p>
      <w:pPr>
        <w:numPr>
          <w:ilvl w:val="0"/>
          <w:numId w:val="1003"/>
        </w:numPr>
        <w:pStyle w:val="Compact"/>
      </w:pPr>
      <w:r>
        <w:t xml:space="preserve">Bäckhed F, Roswall J, Peng Y, et al. Dynamics and stabilization of the human gut microbiome during the first year of life.</w:t>
      </w:r>
      <w:r>
        <w:t xml:space="preserve"> </w:t>
      </w:r>
      <w:r>
        <w:rPr>
          <w:iCs/>
          <w:i/>
        </w:rPr>
        <w:t xml:space="preserve">Cell Host Microbe</w:t>
      </w:r>
      <w:r>
        <w:t xml:space="preserve">. 2015;17(5):690–703.</w:t>
      </w:r>
    </w:p>
    <w:p>
      <w:pPr>
        <w:numPr>
          <w:ilvl w:val="0"/>
          <w:numId w:val="1003"/>
        </w:numPr>
        <w:pStyle w:val="Compact"/>
      </w:pPr>
      <w:r>
        <w:t xml:space="preserve">Sung CH, Marsilio S, Chow B, et al. Dysbiosis index to evaluate the fecal microbiota in healthy cats and cats with chronic enteropathy.</w:t>
      </w:r>
      <w:r>
        <w:t xml:space="preserve"> </w:t>
      </w:r>
      <w:r>
        <w:rPr>
          <w:iCs/>
          <w:i/>
        </w:rPr>
        <w:t xml:space="preserve">J Feline Med Surg</w:t>
      </w:r>
      <w:r>
        <w:t xml:space="preserve">. 2022;24(6):e1–e12.</w:t>
      </w:r>
    </w:p>
    <w:p>
      <w:pPr>
        <w:numPr>
          <w:ilvl w:val="0"/>
          <w:numId w:val="1003"/>
        </w:numPr>
        <w:pStyle w:val="Compact"/>
      </w:pPr>
      <w:r>
        <w:t xml:space="preserve">Dougal K, Harris PA, Edwards A, et al. A comparison of the microbiome and the metabolome of different regions of the equine hindgut.</w:t>
      </w:r>
      <w:r>
        <w:t xml:space="preserve"> </w:t>
      </w:r>
      <w:r>
        <w:rPr>
          <w:iCs/>
          <w:i/>
        </w:rPr>
        <w:t xml:space="preserve">FEMS Microbiol Ecol</w:t>
      </w:r>
      <w:r>
        <w:t xml:space="preserve">. 2012;82(3):642–652.</w:t>
      </w:r>
    </w:p>
    <w:p>
      <w:pPr>
        <w:numPr>
          <w:ilvl w:val="0"/>
          <w:numId w:val="1003"/>
        </w:numPr>
        <w:pStyle w:val="Compact"/>
      </w:pPr>
      <w:r>
        <w:t xml:space="preserve">Ley RE, Hamady M, Lozupone C, et al. Evolution of mammals and their gut microbes.</w:t>
      </w:r>
      <w:r>
        <w:t xml:space="preserve"> </w:t>
      </w:r>
      <w:r>
        <w:rPr>
          <w:iCs/>
          <w:i/>
        </w:rPr>
        <w:t xml:space="preserve">Science</w:t>
      </w:r>
      <w:r>
        <w:t xml:space="preserve">. 2008;320(5883):1647–1651.</w:t>
      </w:r>
    </w:p>
    <w:p>
      <w:pPr>
        <w:numPr>
          <w:ilvl w:val="0"/>
          <w:numId w:val="1003"/>
        </w:numPr>
        <w:pStyle w:val="Compact"/>
      </w:pPr>
      <w:r>
        <w:t xml:space="preserve">Jergens AE, Heilmann RM. Canine inflammatory bowel disease: has progress been made?</w:t>
      </w:r>
      <w:r>
        <w:t xml:space="preserve"> </w:t>
      </w:r>
      <w:r>
        <w:rPr>
          <w:iCs/>
          <w:i/>
        </w:rPr>
        <w:t xml:space="preserve">J Small Anim Pract</w:t>
      </w:r>
      <w:r>
        <w:t xml:space="preserve">. 2018;59(8):467–475.</w:t>
      </w:r>
    </w:p>
    <w:p>
      <w:pPr>
        <w:numPr>
          <w:ilvl w:val="0"/>
          <w:numId w:val="1003"/>
        </w:numPr>
        <w:pStyle w:val="Compact"/>
      </w:pPr>
      <w:r>
        <w:t xml:space="preserve">Packey CD, Sartor RB. Commensal bacteria, traditional and opportunistic pathogens, dysbiosis and bacterial killing in inflammatory bowel diseases.</w:t>
      </w:r>
      <w:r>
        <w:t xml:space="preserve"> </w:t>
      </w:r>
      <w:r>
        <w:rPr>
          <w:iCs/>
          <w:i/>
        </w:rPr>
        <w:t xml:space="preserve">Curr Opin Infect Dis</w:t>
      </w:r>
      <w:r>
        <w:t xml:space="preserve">. 2009;22(3):292–301.</w:t>
      </w:r>
    </w:p>
    <w:p>
      <w:pPr>
        <w:numPr>
          <w:ilvl w:val="0"/>
          <w:numId w:val="1003"/>
        </w:numPr>
        <w:pStyle w:val="Compact"/>
      </w:pPr>
      <w:r>
        <w:t xml:space="preserve">Stull JW, Brophy J, Weese JS. Reducing the risk of pet-associated zoonotic infections.</w:t>
      </w:r>
      <w:r>
        <w:t xml:space="preserve"> </w:t>
      </w:r>
      <w:r>
        <w:rPr>
          <w:iCs/>
          <w:i/>
        </w:rPr>
        <w:t xml:space="preserve">CMAJ</w:t>
      </w:r>
      <w:r>
        <w:t xml:space="preserve">. 2015;187(10):736–743.</w:t>
      </w:r>
    </w:p>
    <w:p>
      <w:pPr>
        <w:numPr>
          <w:ilvl w:val="0"/>
          <w:numId w:val="1003"/>
        </w:numPr>
        <w:pStyle w:val="Compact"/>
      </w:pPr>
      <w:r>
        <w:t xml:space="preserve">Goorhuis A, Bakker D, Corver J, et al. Emergence of</w:t>
      </w:r>
      <w:r>
        <w:t xml:space="preserve"> </w:t>
      </w:r>
      <w:r>
        <w:rPr>
          <w:iCs/>
          <w:i/>
        </w:rPr>
        <w:t xml:space="preserve">Clostridium difficile</w:t>
      </w:r>
      <w:r>
        <w:t xml:space="preserve"> </w:t>
      </w:r>
      <w:r>
        <w:t xml:space="preserve">infection due to a new hypervirulent strain, polymerase chain reaction ribotype 078.</w:t>
      </w:r>
      <w:r>
        <w:t xml:space="preserve"> </w:t>
      </w:r>
      <w:r>
        <w:rPr>
          <w:iCs/>
          <w:i/>
        </w:rPr>
        <w:t xml:space="preserve">Clin Infect Dis</w:t>
      </w:r>
      <w:r>
        <w:t xml:space="preserve">. 2008;47(9):1162–1170.</w:t>
      </w:r>
    </w:p>
    <w:p>
      <w:pPr>
        <w:numPr>
          <w:ilvl w:val="0"/>
          <w:numId w:val="1003"/>
        </w:numPr>
        <w:pStyle w:val="Compact"/>
      </w:pPr>
      <w:r>
        <w:t xml:space="preserve">van Boeckel TP, Gandra S, Ashok A, et al. Global antibiotic consumption 2000 to 2010: an analysis of national pharmaceutical sales data.</w:t>
      </w:r>
      <w:r>
        <w:t xml:space="preserve"> </w:t>
      </w:r>
      <w:r>
        <w:rPr>
          <w:iCs/>
          <w:i/>
        </w:rPr>
        <w:t xml:space="preserve">Lancet Infect Dis</w:t>
      </w:r>
      <w:r>
        <w:t xml:space="preserve">. 2014;14(8):742–750.</w:t>
      </w:r>
    </w:p>
    <w:p>
      <w:pPr>
        <w:numPr>
          <w:ilvl w:val="0"/>
          <w:numId w:val="1003"/>
        </w:numPr>
        <w:pStyle w:val="Compact"/>
      </w:pPr>
      <w:r>
        <w:t xml:space="preserve">Platell JL, Johnson JR, Cobbold RN, Trott DJ. Multidrug-resistant extraintestinal pathogenic</w:t>
      </w:r>
      <w:r>
        <w:t xml:space="preserve"> </w:t>
      </w:r>
      <w:r>
        <w:rPr>
          <w:iCs/>
          <w:i/>
        </w:rPr>
        <w:t xml:space="preserve">Escherichia coli</w:t>
      </w:r>
      <w:r>
        <w:t xml:space="preserve"> </w:t>
      </w:r>
      <w:r>
        <w:t xml:space="preserve">of sequence type ST131 in animals and humans: an emerging One Health concern.</w:t>
      </w:r>
      <w:r>
        <w:t xml:space="preserve"> </w:t>
      </w:r>
      <w:r>
        <w:rPr>
          <w:iCs/>
          <w:i/>
        </w:rPr>
        <w:t xml:space="preserve">Vet Microbiol</w:t>
      </w:r>
      <w:r>
        <w:t xml:space="preserve">. 2011;153(1–2):99–108.</w:t>
      </w:r>
    </w:p>
    <w:p>
      <w:pPr>
        <w:numPr>
          <w:ilvl w:val="0"/>
          <w:numId w:val="1003"/>
        </w:numPr>
        <w:pStyle w:val="Compact"/>
      </w:pPr>
      <w:r>
        <w:t xml:space="preserve">Arumugam M, Raes J, Pelletier E, et al. Enterotypes of the human gut microbiome.</w:t>
      </w:r>
      <w:r>
        <w:t xml:space="preserve"> </w:t>
      </w:r>
      <w:r>
        <w:rPr>
          <w:iCs/>
          <w:i/>
        </w:rPr>
        <w:t xml:space="preserve">Nature</w:t>
      </w:r>
      <w:r>
        <w:t xml:space="preserve">. 2011;473(7346):174–180.</w:t>
      </w:r>
    </w:p>
    <w:p>
      <w:pPr>
        <w:numPr>
          <w:ilvl w:val="0"/>
          <w:numId w:val="1003"/>
        </w:numPr>
        <w:pStyle w:val="Compact"/>
      </w:pPr>
      <w:r>
        <w:t xml:space="preserve">Chermprapai S, Ederveen THA, Broere F, et al. The bacterial and fungal microbiome of the skin of healthy dogs and dogs with atopic dermatitis and the impact of</w:t>
      </w:r>
      <w:r>
        <w:t xml:space="preserve"> </w:t>
      </w:r>
      <w:r>
        <w:rPr>
          <w:iCs/>
          <w:i/>
        </w:rPr>
        <w:t xml:space="preserve">in vivo</w:t>
      </w:r>
      <w:r>
        <w:t xml:space="preserve"> </w:t>
      </w:r>
      <w:r>
        <w:t xml:space="preserve">sampling.</w:t>
      </w:r>
      <w:r>
        <w:t xml:space="preserve"> </w:t>
      </w:r>
      <w:r>
        <w:rPr>
          <w:iCs/>
          <w:i/>
        </w:rPr>
        <w:t xml:space="preserve">Vet Microbiol</w:t>
      </w:r>
      <w:r>
        <w:t xml:space="preserve">. 2019;229:90–99.</w:t>
      </w:r>
    </w:p>
    <w:p>
      <w:pPr>
        <w:numPr>
          <w:ilvl w:val="0"/>
          <w:numId w:val="1003"/>
        </w:numPr>
        <w:pStyle w:val="Compact"/>
      </w:pPr>
      <w:r>
        <w:t xml:space="preserve">Ziemer CJ, Steadham SR. Evaluation of the specificity of</w:t>
      </w:r>
      <w:r>
        <w:t xml:space="preserve"> </w:t>
      </w:r>
      <w:r>
        <w:rPr>
          <w:iCs/>
          <w:i/>
        </w:rPr>
        <w:t xml:space="preserve">Salmonella</w:t>
      </w:r>
      <w:r>
        <w:t xml:space="preserve"> </w:t>
      </w:r>
      <w:r>
        <w:t xml:space="preserve">PCR primers using various intestinal bacterial species.</w:t>
      </w:r>
      <w:r>
        <w:t xml:space="preserve"> </w:t>
      </w:r>
      <w:r>
        <w:rPr>
          <w:iCs/>
          <w:i/>
        </w:rPr>
        <w:t xml:space="preserve">Lett Appl Microbiol</w:t>
      </w:r>
      <w:r>
        <w:t xml:space="preserve">. 2003;37(6):459–464.</w:t>
      </w:r>
    </w:p>
    <w:p>
      <w:pPr>
        <w:numPr>
          <w:ilvl w:val="0"/>
          <w:numId w:val="1003"/>
        </w:numPr>
        <w:pStyle w:val="Compact"/>
      </w:pPr>
      <w:r>
        <w:t xml:space="preserve">Franzosa EA, Huttenhower C, Sirota-Madi A, et al. Relating the metatranscriptome and metagenome of the human gut.</w:t>
      </w:r>
      <w:r>
        <w:t xml:space="preserve"> </w:t>
      </w:r>
      <w:r>
        <w:rPr>
          <w:iCs/>
          <w:i/>
        </w:rPr>
        <w:t xml:space="preserve">Proc Natl Acad Sci USA</w:t>
      </w:r>
      <w:r>
        <w:t xml:space="preserve">. 2014;111(22):E2329–E2338.</w:t>
      </w:r>
    </w:p>
    <w:p>
      <w:pPr>
        <w:numPr>
          <w:ilvl w:val="0"/>
          <w:numId w:val="1003"/>
        </w:numPr>
        <w:pStyle w:val="Compact"/>
      </w:pPr>
      <w:r>
        <w:t xml:space="preserve">Smillie CS, Sauk J, Gevers D, et al. Strain tracking reveals the determinants of bacterial engraftment in the human gut following fecal microbiota transplantation.</w:t>
      </w:r>
      <w:r>
        <w:t xml:space="preserve"> </w:t>
      </w:r>
      <w:r>
        <w:rPr>
          <w:iCs/>
          <w:i/>
        </w:rPr>
        <w:t xml:space="preserve">Cell Host Microbe</w:t>
      </w:r>
      <w:r>
        <w:t xml:space="preserve">. 2018;23(2):229–240.e5.</w:t>
      </w:r>
    </w:p>
    <w:p>
      <w:pPr>
        <w:numPr>
          <w:ilvl w:val="0"/>
          <w:numId w:val="1003"/>
        </w:numPr>
        <w:pStyle w:val="Compact"/>
      </w:pPr>
      <w:r>
        <w:t xml:space="preserve">Gloor GB, Macklaim JM, Pawlowsky-Glahn V, Egozcue JJ. Microbiome datasets are compositional: and this is not optional.</w:t>
      </w:r>
      <w:r>
        <w:t xml:space="preserve"> </w:t>
      </w:r>
      <w:r>
        <w:rPr>
          <w:iCs/>
          <w:i/>
        </w:rPr>
        <w:t xml:space="preserve">Front Microbiol</w:t>
      </w:r>
      <w:r>
        <w:t xml:space="preserve">. 2017;8:2224.</w:t>
      </w:r>
    </w:p>
    <w:p>
      <w:pPr>
        <w:numPr>
          <w:ilvl w:val="0"/>
          <w:numId w:val="1003"/>
        </w:numPr>
        <w:pStyle w:val="Compact"/>
      </w:pPr>
      <w:r>
        <w:t xml:space="preserve">Callahan BJ, McMurdie PJ, Rosen MJ, Han AW, Johnson AJA, Holmes SP. DADA2: high-resolution sample inference from Illumina amplicon data.</w:t>
      </w:r>
      <w:r>
        <w:t xml:space="preserve"> </w:t>
      </w:r>
      <w:r>
        <w:rPr>
          <w:iCs/>
          <w:i/>
        </w:rPr>
        <w:t xml:space="preserve">Nat Methods</w:t>
      </w:r>
      <w:r>
        <w:t xml:space="preserve">. 2016;13(7):581–583.</w:t>
      </w:r>
    </w:p>
    <w:p>
      <w:pPr>
        <w:numPr>
          <w:ilvl w:val="0"/>
          <w:numId w:val="1003"/>
        </w:numPr>
        <w:pStyle w:val="Compact"/>
      </w:pPr>
      <w:r>
        <w:t xml:space="preserve">McMurdie PJ, Holmes S. Waste not, want not: why rarefying microbiome data is inadmissible.</w:t>
      </w:r>
      <w:r>
        <w:t xml:space="preserve"> </w:t>
      </w:r>
      <w:r>
        <w:rPr>
          <w:iCs/>
          <w:i/>
        </w:rPr>
        <w:t xml:space="preserve">PLoS Comput Biol</w:t>
      </w:r>
      <w:r>
        <w:t xml:space="preserve">. 2014;10(4):e1003531.</w:t>
      </w:r>
    </w:p>
    <w:p>
      <w:pPr>
        <w:numPr>
          <w:ilvl w:val="0"/>
          <w:numId w:val="1003"/>
        </w:numPr>
        <w:pStyle w:val="Compact"/>
      </w:pPr>
      <w:r>
        <w:t xml:space="preserve">Yatsunenko T, Rey FE, Manary MJ, et al. Human gut microbiome viewed across age and geography.</w:t>
      </w:r>
      <w:r>
        <w:t xml:space="preserve"> </w:t>
      </w:r>
      <w:r>
        <w:rPr>
          <w:iCs/>
          <w:i/>
        </w:rPr>
        <w:t xml:space="preserve">Nature</w:t>
      </w:r>
      <w:r>
        <w:t xml:space="preserve">. 2012;486(7402):222–227.</w:t>
      </w:r>
    </w:p>
    <w:p>
      <w:pPr>
        <w:numPr>
          <w:ilvl w:val="0"/>
          <w:numId w:val="1003"/>
        </w:numPr>
        <w:pStyle w:val="Compact"/>
      </w:pPr>
      <w:r>
        <w:t xml:space="preserve">Ianiro G, Tilg H, Gasbarrini A. Antibiotics as deep modulators of gut microbiota: between good and evil.</w:t>
      </w:r>
      <w:r>
        <w:t xml:space="preserve"> </w:t>
      </w:r>
      <w:r>
        <w:rPr>
          <w:iCs/>
          <w:i/>
        </w:rPr>
        <w:t xml:space="preserve">Gut</w:t>
      </w:r>
      <w:r>
        <w:t xml:space="preserve">. 2016;65(11):1906–1915.</w:t>
      </w:r>
    </w:p>
    <w:p>
      <w:pPr>
        <w:numPr>
          <w:ilvl w:val="0"/>
          <w:numId w:val="1003"/>
        </w:numPr>
        <w:pStyle w:val="Compact"/>
      </w:pPr>
      <w:r>
        <w:t xml:space="preserve">Lozupone CA, Stombaugh JI, Gordon JI, Jansson JK, Knight R. Diversity, stability and resilience of the human gut microbiota.</w:t>
      </w:r>
      <w:r>
        <w:t xml:space="preserve"> </w:t>
      </w:r>
      <w:r>
        <w:rPr>
          <w:iCs/>
          <w:i/>
        </w:rPr>
        <w:t xml:space="preserve">Nature</w:t>
      </w:r>
      <w:r>
        <w:t xml:space="preserve">. 2012;489(7415):220–230.</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497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2E74B5"/>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
      <w:bCs/>
      <w:color w:themeColor="accent1" w:val="4F81BD"/>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2026-04-25T12:43:42Z</dcterms:created>
  <dcterms:modified xsi:type="dcterms:W3CDTF">2026-04-25T12:43:42Z</dcterms:modified>
</cp:coreProperties>
</file>

<file path=docProps/custom.xml><?xml version="1.0" encoding="utf-8"?>
<Properties xmlns="http://schemas.openxmlformats.org/officeDocument/2006/custom-properties" xmlns:vt="http://schemas.openxmlformats.org/officeDocument/2006/docPropsVTypes"/>
</file>