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560"/>
              <w:left w:type="dxa" w:w="560"/>
              <w:bottom w:type="dxa" w:w="560"/>
              <w:right w:type="dxa" w:w="560"/>
            </w:tcMar>
          </w:tcPr>
          <w:p>
            <w:pPr>
              <w:spacing w:after="120" w:before="0"/>
              <w:jc w:val="center"/>
            </w:pPr>
            <w:r>
              <w:rPr>
                <w:rFonts w:ascii="Arial" w:cs="Arial" w:eastAsia="Arial" w:hAnsi="Arial"/>
                <w:b/>
                <w:bCs/>
                <w:color w:val="6C63FF"/>
                <w:sz w:val="48"/>
                <w:szCs w:val="48"/>
              </w:rPr>
              <w:t xml:space="preserve">LMX CLOUD</w:t>
            </w:r>
          </w:p>
          <w:p>
            <w:pPr>
              <w:spacing w:after="200" w:before="0"/>
              <w:jc w:val="center"/>
            </w:pPr>
            <w:r>
              <w:rPr>
                <w:rFonts w:ascii="Arial" w:cs="Arial" w:eastAsia="Arial" w:hAnsi="Arial"/>
                <w:b/>
                <w:bCs/>
                <w:color w:val="FFFFFF"/>
                <w:sz w:val="56"/>
                <w:szCs w:val="56"/>
              </w:rPr>
              <w:t xml:space="preserve">DePIN Inference Router</w:t>
            </w:r>
          </w:p>
          <w:p>
            <w:pPr>
              <w:spacing w:after="320" w:before="0"/>
              <w:jc w:val="center"/>
            </w:pPr>
            <w:r>
              <w:rPr>
                <w:rFonts w:ascii="Arial" w:cs="Arial" w:eastAsia="Arial" w:hAnsi="Arial"/>
                <w:color w:val="00D4AA"/>
                <w:sz w:val="28"/>
                <w:szCs w:val="28"/>
              </w:rPr>
              <w:t xml:space="preserve">MVP Product Specification</w:t>
            </w:r>
          </w:p>
          <w:p>
            <w:pPr>
              <w:jc w:val="center"/>
            </w:pPr>
            <w:r>
              <w:rPr>
                <w:rFonts w:ascii="Arial" w:cs="Arial" w:eastAsia="Arial" w:hAnsi="Arial"/>
                <w:color w:val="AAAACC"/>
                <w:sz w:val="20"/>
                <w:szCs w:val="20"/>
              </w:rPr>
              <w:t xml:space="preserve">Version 1.0  ·  June 2026  ·  LMX Ecosystem</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4F3FF" w:val="clear"/>
            <w:tcMar>
              <w:top w:type="dxa" w:w="120"/>
              <w:left w:type="dxa" w:w="160"/>
              <w:bottom w:type="dxa" w:w="120"/>
              <w:right w:type="dxa" w:w="160"/>
            </w:tcMar>
          </w:tcPr>
          <w:p>
            <w:pPr>
              <w:jc w:val="center"/>
            </w:pPr>
            <w:r>
              <w:rPr>
                <w:rFonts w:ascii="Arial" w:cs="Arial" w:eastAsia="Arial" w:hAnsi="Arial"/>
                <w:b/>
                <w:bCs/>
                <w:color w:val="6C63FF"/>
                <w:sz w:val="18"/>
                <w:szCs w:val="18"/>
              </w:rPr>
              <w:t xml:space="preserve">Build Phase</w:t>
            </w:r>
          </w:p>
          <w:p>
            <w:pPr>
              <w:jc w:val="center"/>
            </w:pPr>
            <w:r>
              <w:rPr>
                <w:rFonts w:ascii="Arial" w:cs="Arial" w:eastAsia="Arial" w:hAnsi="Arial"/>
                <w:b/>
                <w:bCs/>
                <w:color w:val="1A1A2E"/>
                <w:sz w:val="22"/>
                <w:szCs w:val="22"/>
              </w:rPr>
              <w:t xml:space="preserve">MVP v1.0</w:t>
            </w:r>
          </w:p>
        </w:tc>
        <w:tc>
          <w:tcPr>
            <w:tcW w:type="dxa" w:w="2340"/>
            <w:tcBorders>
              <w:top w:val="none" w:color="FFFFFF" w:sz="0"/>
              <w:left w:val="none" w:color="FFFFFF" w:sz="0"/>
              <w:bottom w:val="none" w:color="FFFFFF" w:sz="0"/>
              <w:right w:val="none" w:color="FFFFFF" w:sz="0"/>
            </w:tcBorders>
            <w:shd w:fill="F4F3FF" w:val="clear"/>
            <w:tcMar>
              <w:top w:type="dxa" w:w="120"/>
              <w:left w:type="dxa" w:w="160"/>
              <w:bottom w:type="dxa" w:w="120"/>
              <w:right w:type="dxa" w:w="160"/>
            </w:tcMar>
          </w:tcPr>
          <w:p>
            <w:pPr>
              <w:jc w:val="center"/>
            </w:pPr>
            <w:r>
              <w:rPr>
                <w:rFonts w:ascii="Arial" w:cs="Arial" w:eastAsia="Arial" w:hAnsi="Arial"/>
                <w:b/>
                <w:bCs/>
                <w:color w:val="6C63FF"/>
                <w:sz w:val="18"/>
                <w:szCs w:val="18"/>
              </w:rPr>
              <w:t xml:space="preserve">Target Timeline</w:t>
            </w:r>
          </w:p>
          <w:p>
            <w:pPr>
              <w:jc w:val="center"/>
            </w:pPr>
            <w:r>
              <w:rPr>
                <w:rFonts w:ascii="Arial" w:cs="Arial" w:eastAsia="Arial" w:hAnsi="Arial"/>
                <w:b/>
                <w:bCs/>
                <w:color w:val="1A1A2E"/>
                <w:sz w:val="22"/>
                <w:szCs w:val="22"/>
              </w:rPr>
              <w:t xml:space="preserve">4–6 Weeks</w:t>
            </w:r>
          </w:p>
        </w:tc>
        <w:tc>
          <w:tcPr>
            <w:tcW w:type="dxa" w:w="2340"/>
            <w:tcBorders>
              <w:top w:val="none" w:color="FFFFFF" w:sz="0"/>
              <w:left w:val="none" w:color="FFFFFF" w:sz="0"/>
              <w:bottom w:val="none" w:color="FFFFFF" w:sz="0"/>
              <w:right w:val="none" w:color="FFFFFF" w:sz="0"/>
            </w:tcBorders>
            <w:shd w:fill="F4F3FF" w:val="clear"/>
            <w:tcMar>
              <w:top w:type="dxa" w:w="120"/>
              <w:left w:type="dxa" w:w="160"/>
              <w:bottom w:type="dxa" w:w="120"/>
              <w:right w:type="dxa" w:w="160"/>
            </w:tcMar>
          </w:tcPr>
          <w:p>
            <w:pPr>
              <w:jc w:val="center"/>
            </w:pPr>
            <w:r>
              <w:rPr>
                <w:rFonts w:ascii="Arial" w:cs="Arial" w:eastAsia="Arial" w:hAnsi="Arial"/>
                <w:b/>
                <w:bCs/>
                <w:color w:val="6C63FF"/>
                <w:sz w:val="18"/>
                <w:szCs w:val="18"/>
              </w:rPr>
              <w:t xml:space="preserve">Primary Stack</w:t>
            </w:r>
          </w:p>
          <w:p>
            <w:pPr>
              <w:jc w:val="center"/>
            </w:pPr>
            <w:r>
              <w:rPr>
                <w:rFonts w:ascii="Arial" w:cs="Arial" w:eastAsia="Arial" w:hAnsi="Arial"/>
                <w:b/>
                <w:bCs/>
                <w:color w:val="1A1A2E"/>
                <w:sz w:val="22"/>
                <w:szCs w:val="22"/>
              </w:rPr>
              <w:t xml:space="preserve">Node.js / TypeScript</w:t>
            </w:r>
          </w:p>
        </w:tc>
        <w:tc>
          <w:tcPr>
            <w:tcW w:type="dxa" w:w="2340"/>
            <w:tcBorders>
              <w:top w:val="none" w:color="FFFFFF" w:sz="0"/>
              <w:left w:val="none" w:color="FFFFFF" w:sz="0"/>
              <w:bottom w:val="none" w:color="FFFFFF" w:sz="0"/>
              <w:right w:val="none" w:color="FFFFFF" w:sz="0"/>
            </w:tcBorders>
            <w:shd w:fill="F4F3FF" w:val="clear"/>
            <w:tcMar>
              <w:top w:type="dxa" w:w="120"/>
              <w:left w:type="dxa" w:w="160"/>
              <w:bottom w:type="dxa" w:w="120"/>
              <w:right w:type="dxa" w:w="160"/>
            </w:tcMar>
          </w:tcPr>
          <w:p>
            <w:pPr>
              <w:jc w:val="center"/>
            </w:pPr>
            <w:r>
              <w:rPr>
                <w:rFonts w:ascii="Arial" w:cs="Arial" w:eastAsia="Arial" w:hAnsi="Arial"/>
                <w:b/>
                <w:bCs/>
                <w:color w:val="6C63FF"/>
                <w:sz w:val="18"/>
                <w:szCs w:val="18"/>
              </w:rPr>
              <w:t xml:space="preserve">Chain</w:t>
            </w:r>
          </w:p>
          <w:p>
            <w:pPr>
              <w:jc w:val="center"/>
            </w:pPr>
            <w:r>
              <w:rPr>
                <w:rFonts w:ascii="Arial" w:cs="Arial" w:eastAsia="Arial" w:hAnsi="Arial"/>
                <w:b/>
                <w:bCs/>
                <w:color w:val="1A1A2E"/>
                <w:sz w:val="22"/>
                <w:szCs w:val="22"/>
              </w:rPr>
              <w:t xml:space="preserve">EVM Testnet</w:t>
            </w:r>
          </w:p>
        </w:tc>
      </w:tr>
    </w:tbl>
    <w:p>
      <w:pPr>
        <w:spacing w:after="0" w:before="32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1. Executive Summary</w:t>
      </w:r>
    </w:p>
    <w:p>
      <w:pPr>
        <w:spacing w:after="120" w:before="80"/>
      </w:pPr>
      <w:r>
        <w:rPr>
          <w:rFonts w:ascii="Arial" w:cs="Arial" w:eastAsia="Arial" w:hAnsi="Arial"/>
          <w:color w:val="1A1A2E"/>
          <w:sz w:val="22"/>
          <w:szCs w:val="22"/>
        </w:rPr>
        <w:t xml:space="preserve">LMX Cloud is an OpenAI-compatible inference API that routes AI requests exclusively through DePIN compute networks — io.net, Akash Network, and eventually LMX Networking's own nodes. It is the demand-side infrastructure layer that justifies DePIN compute supply, and the first deployable component of the broader LMX Cloud vision.</w:t>
      </w:r>
    </w:p>
    <w:p>
      <w:pPr>
        <w:spacing w:after="0" w:before="80"/>
      </w:pPr>
      <w:r>
        <w:t xml:space="preserve"/>
      </w:r>
    </w:p>
    <w:p>
      <w:pPr>
        <w:spacing w:after="120" w:before="80"/>
      </w:pPr>
      <w:r>
        <w:rPr>
          <w:rFonts w:ascii="Arial" w:cs="Arial" w:eastAsia="Arial" w:hAnsi="Arial"/>
          <w:color w:val="1A1A2E"/>
          <w:sz w:val="22"/>
          <w:szCs w:val="22"/>
        </w:rPr>
        <w:t xml:space="preserve">The MVP proves three things:</w:t>
      </w:r>
    </w:p>
    <w:p>
      <w:pPr>
        <w:pStyle w:val="ListParagraph"/>
        <w:numPr>
          <w:ilvl w:val="0"/>
          <w:numId w:val="2"/>
        </w:numPr>
        <w:spacing w:after="60" w:before="60"/>
      </w:pPr>
      <w:r>
        <w:rPr>
          <w:rFonts w:ascii="Arial" w:cs="Arial" w:eastAsia="Arial" w:hAnsi="Arial"/>
          <w:color w:val="1A1A2E"/>
          <w:sz w:val="22"/>
          <w:szCs w:val="22"/>
        </w:rPr>
        <w:t xml:space="preserve">Inference jobs can be routed reliably across multiple DePIN providers behind a single API endpoint</w:t>
      </w:r>
    </w:p>
    <w:p>
      <w:pPr>
        <w:pStyle w:val="ListParagraph"/>
        <w:numPr>
          <w:ilvl w:val="0"/>
          <w:numId w:val="2"/>
        </w:numPr>
        <w:spacing w:after="60" w:before="60"/>
      </w:pPr>
      <w:r>
        <w:rPr>
          <w:rFonts w:ascii="Arial" w:cs="Arial" w:eastAsia="Arial" w:hAnsi="Arial"/>
          <w:color w:val="1A1A2E"/>
          <w:sz w:val="22"/>
          <w:szCs w:val="22"/>
        </w:rPr>
        <w:t xml:space="preserve">Developer experience is on par with OpenAI — drop-in compatible, minimal configuration</w:t>
      </w:r>
    </w:p>
    <w:p>
      <w:pPr>
        <w:pStyle w:val="ListParagraph"/>
        <w:numPr>
          <w:ilvl w:val="0"/>
          <w:numId w:val="2"/>
        </w:numPr>
        <w:spacing w:after="60" w:before="60"/>
      </w:pPr>
      <w:r>
        <w:rPr>
          <w:rFonts w:ascii="Arial" w:cs="Arial" w:eastAsia="Arial" w:hAnsi="Arial"/>
          <w:color w:val="1A1A2E"/>
          <w:sz w:val="22"/>
          <w:szCs w:val="22"/>
        </w:rPr>
        <w:t xml:space="preserve">MITH token has a live, functional use case before Mithril mainnet launches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D4AA"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4F3FF" w:val="clear"/>
            <w:tcMar>
              <w:top w:type="dxa" w:w="140"/>
              <w:left w:type="dxa" w:w="200"/>
              <w:bottom w:type="dxa" w:w="140"/>
              <w:right w:type="dxa" w:w="200"/>
            </w:tcMar>
          </w:tcPr>
          <w:p>
            <w:r>
              <w:rPr>
                <w:rFonts w:ascii="Arial" w:cs="Arial" w:eastAsia="Arial" w:hAnsi="Arial"/>
                <w:b/>
                <w:bCs/>
                <w:color w:val="00D4AA"/>
                <w:sz w:val="20"/>
                <w:szCs w:val="20"/>
              </w:rPr>
              <w:t xml:space="preserve">Strategic Position</w:t>
            </w:r>
          </w:p>
          <w:p>
            <w:pPr>
              <w:spacing w:before="60"/>
            </w:pPr>
            <w:r>
              <w:rPr>
                <w:rFonts w:ascii="Arial" w:cs="Arial" w:eastAsia="Arial" w:hAnsi="Arial"/>
                <w:color w:val="1A1A2E"/>
                <w:sz w:val="20"/>
                <w:szCs w:val="20"/>
              </w:rPr>
              <w:t xml:space="preserve">OpenRouter routes to centralized model providers (OpenAI, Anthropic, Mistral). LMX Cloud routes to operator-owned, decentralized compute. No hyperscaler infrastructure touches a single query. This is a structural differentiation — not a marketing claim.</w:t>
            </w:r>
          </w:p>
        </w:tc>
      </w:tr>
    </w:tbl>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2. Problem Statement</w:t>
      </w:r>
    </w:p>
    <w:p>
      <w:pPr>
        <w:spacing w:after="120" w:before="80"/>
      </w:pPr>
      <w:r>
        <w:rPr>
          <w:rFonts w:ascii="Arial" w:cs="Arial" w:eastAsia="Arial" w:hAnsi="Arial"/>
          <w:color w:val="1A1A2E"/>
          <w:sz w:val="22"/>
          <w:szCs w:val="22"/>
        </w:rPr>
        <w:t xml:space="preserve">DePIN compute networks have a supply-side story but no clean demand-side interface. Developers who want sovereign, decentralized AI inference face three barriers: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Barrier</w:t>
            </w:r>
          </w:p>
        </w:tc>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Integration friction</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Direct io.net / Akash SDKs require custom job scheduling, error handling, and model management. No plug-and-play API.</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No routing intelligence</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Single-provider dependency means downtime cascades directly to the application. No fallback, no load balancing.</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No crypto payment rail</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Web3-native apps cannot pay for inference with tokens — they are forced into Stripe or credit card APIs that break the sovereignty claim.</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
            </w:r>
          </w:p>
        </w:tc>
      </w:tr>
    </w:tbl>
    <w:p>
      <w:pPr>
        <w:spacing w:after="0" w:before="160"/>
      </w:pPr>
      <w:r>
        <w:t xml:space="preserve"/>
      </w:r>
    </w:p>
    <w:p>
      <w:pPr>
        <w:spacing w:after="120" w:before="80"/>
      </w:pPr>
      <w:r>
        <w:rPr>
          <w:rFonts w:ascii="Arial" w:cs="Arial" w:eastAsia="Arial" w:hAnsi="Arial"/>
          <w:color w:val="1A1A2E"/>
          <w:sz w:val="22"/>
          <w:szCs w:val="22"/>
        </w:rPr>
        <w:t xml:space="preserve">LMX Cloud solves all three with a single unified API.</w:t>
      </w:r>
    </w:p>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3. Solution Overview</w:t>
      </w:r>
    </w:p>
    <w:p>
      <w:pPr>
        <w:spacing w:after="120" w:before="80"/>
      </w:pPr>
      <w:r>
        <w:rPr>
          <w:rFonts w:ascii="Arial" w:cs="Arial" w:eastAsia="Arial" w:hAnsi="Arial"/>
          <w:color w:val="1A1A2E"/>
          <w:sz w:val="22"/>
          <w:szCs w:val="22"/>
        </w:rPr>
        <w:t xml:space="preserve">A thin, intelligent routing layer that sits between the developer and the DePIN compute network. From the developer's perspective it looks exactly like the OpenAI API. Under the hood it manages provider health, routes jobs, handles fallbacks, and settles payments in crypto.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FF" w:sz="1"/>
              <w:left w:val="single" w:color="E0DEFF" w:sz="1"/>
              <w:bottom w:val="single" w:color="E0DEFF" w:sz="1"/>
              <w:right w:val="single" w:color="E0DEFF" w:sz="1"/>
            </w:tcBorders>
            <w:shd w:fill="0D0D1A" w:val="clear"/>
            <w:tcMar>
              <w:top w:type="dxa" w:w="200"/>
              <w:left w:type="dxa" w:w="280"/>
              <w:bottom w:type="dxa" w:w="200"/>
              <w:right w:type="dxa" w:w="280"/>
            </w:tcMar>
          </w:tcPr>
          <w:p>
            <w:pPr>
              <w:spacing w:after="40" w:before="40"/>
            </w:pPr>
            <w:r>
              <w:rPr>
                <w:rFonts w:ascii="Courier New" w:cs="Courier New" w:eastAsia="Courier New" w:hAnsi="Courier New"/>
                <w:color w:val="00D4AA"/>
                <w:sz w:val="18"/>
                <w:szCs w:val="18"/>
              </w:rPr>
              <w:t xml:space="preserve"># Drop-in replacement for OpenAI — zero code changes required</w:t>
            </w:r>
          </w:p>
          <w:p>
            <w:pPr>
              <w:spacing w:after="40" w:before="40"/>
            </w:pPr>
            <w:r>
              <w:rPr>
                <w:rFonts w:ascii="Courier New" w:cs="Courier New" w:eastAsia="Courier New" w:hAnsi="Courier New"/>
                <w:color w:val="00D4AA"/>
                <w:sz w:val="18"/>
                <w:szCs w:val="18"/>
              </w:rPr>
              <w:t xml:space="preserve"/>
            </w:r>
          </w:p>
          <w:p>
            <w:pPr>
              <w:spacing w:after="40" w:before="40"/>
            </w:pPr>
            <w:r>
              <w:rPr>
                <w:rFonts w:ascii="Courier New" w:cs="Courier New" w:eastAsia="Courier New" w:hAnsi="Courier New"/>
                <w:color w:val="00D4AA"/>
                <w:sz w:val="18"/>
                <w:szCs w:val="18"/>
              </w:rPr>
              <w:t xml:space="preserve">curl https://api.lmxcloud.io/v1/chat/completions \</w:t>
            </w:r>
          </w:p>
          <w:p>
            <w:pPr>
              <w:spacing w:after="40" w:before="40"/>
            </w:pPr>
            <w:r>
              <w:rPr>
                <w:rFonts w:ascii="Courier New" w:cs="Courier New" w:eastAsia="Courier New" w:hAnsi="Courier New"/>
                <w:color w:val="00D4AA"/>
                <w:sz w:val="18"/>
                <w:szCs w:val="18"/>
              </w:rPr>
              <w:t xml:space="preserve">  -H 'Authorization: Bearer lmx_your_api_key' \</w:t>
            </w:r>
          </w:p>
          <w:p>
            <w:pPr>
              <w:spacing w:after="40" w:before="40"/>
            </w:pPr>
            <w:r>
              <w:rPr>
                <w:rFonts w:ascii="Courier New" w:cs="Courier New" w:eastAsia="Courier New" w:hAnsi="Courier New"/>
                <w:color w:val="00D4AA"/>
                <w:sz w:val="18"/>
                <w:szCs w:val="18"/>
              </w:rPr>
              <w:t xml:space="preserve">  -H 'Content-Type: application/json' \</w:t>
            </w:r>
          </w:p>
          <w:p>
            <w:pPr>
              <w:spacing w:after="40" w:before="40"/>
            </w:pPr>
            <w:r>
              <w:rPr>
                <w:rFonts w:ascii="Courier New" w:cs="Courier New" w:eastAsia="Courier New" w:hAnsi="Courier New"/>
                <w:color w:val="00D4AA"/>
                <w:sz w:val="18"/>
                <w:szCs w:val="18"/>
              </w:rPr>
              <w:t xml:space="preserve">  -d '{</w:t>
            </w:r>
          </w:p>
          <w:p>
            <w:pPr>
              <w:spacing w:after="40" w:before="40"/>
            </w:pPr>
            <w:r>
              <w:rPr>
                <w:rFonts w:ascii="Courier New" w:cs="Courier New" w:eastAsia="Courier New" w:hAnsi="Courier New"/>
                <w:color w:val="00D4AA"/>
                <w:sz w:val="18"/>
                <w:szCs w:val="18"/>
              </w:rPr>
              <w:t xml:space="preserve">    "model": "llama-3-70b",</w:t>
            </w:r>
          </w:p>
          <w:p>
            <w:pPr>
              <w:spacing w:after="40" w:before="40"/>
            </w:pPr>
            <w:r>
              <w:rPr>
                <w:rFonts w:ascii="Courier New" w:cs="Courier New" w:eastAsia="Courier New" w:hAnsi="Courier New"/>
                <w:color w:val="00D4AA"/>
                <w:sz w:val="18"/>
                <w:szCs w:val="18"/>
              </w:rPr>
              <w:t xml:space="preserve">    "messages": [{"role": "user", "content": "Hello"}],</w:t>
            </w:r>
          </w:p>
          <w:p>
            <w:pPr>
              <w:spacing w:after="40" w:before="40"/>
            </w:pPr>
            <w:r>
              <w:rPr>
                <w:rFonts w:ascii="Courier New" w:cs="Courier New" w:eastAsia="Courier New" w:hAnsi="Courier New"/>
                <w:color w:val="00D4AA"/>
                <w:sz w:val="18"/>
                <w:szCs w:val="18"/>
              </w:rPr>
              <w:t xml:space="preserve">    "x-lmx-prefer": "cheapest"</w:t>
            </w:r>
          </w:p>
          <w:p>
            <w:pPr>
              <w:spacing w:after="40" w:before="40"/>
            </w:pPr>
            <w:r>
              <w:rPr>
                <w:rFonts w:ascii="Courier New" w:cs="Courier New" w:eastAsia="Courier New" w:hAnsi="Courier New"/>
                <w:color w:val="00D4AA"/>
                <w:sz w:val="18"/>
                <w:szCs w:val="18"/>
              </w:rPr>
              <w:t xml:space="preserve">  }'</w:t>
            </w:r>
          </w:p>
        </w:tc>
      </w:tr>
    </w:tbl>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4. System Architecture</w:t>
      </w:r>
    </w:p>
    <w:p>
      <w:pPr>
        <w:pStyle w:val="Heading3"/>
        <w:spacing w:after="80" w:before="240"/>
      </w:pPr>
      <w:r>
        <w:rPr>
          <w:rFonts w:ascii="Arial" w:cs="Arial" w:eastAsia="Arial" w:hAnsi="Arial"/>
          <w:b/>
          <w:bCs/>
          <w:color w:val="6C63FF"/>
          <w:sz w:val="22"/>
          <w:szCs w:val="22"/>
        </w:rPr>
        <w:t xml:space="preserve">4.1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24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API Gateway</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Express / Fastify server exposing OpenAI-compatible endpoints. Handles auth, rate limiting, request validation.</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Health Monitor</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Background process polling each DePIN provider every 30 seconds. Maintains a live provider status table used by the router.</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Routing Engine</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Core logic selecting the optimal provider per request based on routing strategy: cheapest, fastest, or user-specified.</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Provider Adapters</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Thin translation layer normalizing each DePIN provider's native API into a unified internal interface. One adapter per provider.</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Fallback Manager</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Ordered fallback chain: io.net → Akash → Hyperbolic → Together.ai. Triggers automatically on provider failure.</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Payment Layer</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Accepts USDC and MITH testnet token. Deducts credits per request. On-chain settlement via smart contract (EVM testnet).</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Logging &amp; Dashboard</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Every request logged with provider used, latency, cost, and fallback status. Public dashboard shows live network health.</w:t>
            </w:r>
          </w:p>
        </w:tc>
      </w:tr>
    </w:tbl>
    <w:p>
      <w:pPr>
        <w:spacing w:after="0" w:before="200"/>
      </w:pPr>
      <w:r>
        <w:t xml:space="preserve"/>
      </w:r>
    </w:p>
    <w:p>
      <w:pPr>
        <w:pStyle w:val="Heading3"/>
        <w:spacing w:after="80" w:before="240"/>
      </w:pPr>
      <w:r>
        <w:rPr>
          <w:rFonts w:ascii="Arial" w:cs="Arial" w:eastAsia="Arial" w:hAnsi="Arial"/>
          <w:b/>
          <w:bCs/>
          <w:color w:val="6C63FF"/>
          <w:sz w:val="22"/>
          <w:szCs w:val="22"/>
        </w:rPr>
        <w:t xml:space="preserve">4.2 Request Lifecycle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FF" w:sz="1"/>
              <w:left w:val="single" w:color="E0DEFF" w:sz="1"/>
              <w:bottom w:val="single" w:color="E0DEFF" w:sz="1"/>
              <w:right w:val="single" w:color="E0DEFF" w:sz="1"/>
            </w:tcBorders>
            <w:shd w:fill="0D0D1A" w:val="clear"/>
            <w:tcMar>
              <w:top w:type="dxa" w:w="200"/>
              <w:left w:type="dxa" w:w="280"/>
              <w:bottom w:type="dxa" w:w="200"/>
              <w:right w:type="dxa" w:w="280"/>
            </w:tcMar>
          </w:tcPr>
          <w:p>
            <w:pPr>
              <w:spacing w:after="40" w:before="40"/>
            </w:pPr>
            <w:r>
              <w:rPr>
                <w:rFonts w:ascii="Courier New" w:cs="Courier New" w:eastAsia="Courier New" w:hAnsi="Courier New"/>
                <w:color w:val="00D4AA"/>
                <w:sz w:val="18"/>
                <w:szCs w:val="18"/>
              </w:rPr>
              <w:t xml:space="preserve">1. Developer sends POST /v1/chat/completions</w:t>
            </w:r>
          </w:p>
          <w:p>
            <w:pPr>
              <w:spacing w:after="40" w:before="40"/>
            </w:pPr>
            <w:r>
              <w:rPr>
                <w:rFonts w:ascii="Courier New" w:cs="Courier New" w:eastAsia="Courier New" w:hAnsi="Courier New"/>
                <w:color w:val="00D4AA"/>
                <w:sz w:val="18"/>
                <w:szCs w:val="18"/>
              </w:rPr>
              <w:t xml:space="preserve">2. Auth middleware validates API key → deducts credits</w:t>
            </w:r>
          </w:p>
          <w:p>
            <w:pPr>
              <w:spacing w:after="40" w:before="40"/>
            </w:pPr>
            <w:r>
              <w:rPr>
                <w:rFonts w:ascii="Courier New" w:cs="Courier New" w:eastAsia="Courier New" w:hAnsi="Courier New"/>
                <w:color w:val="00D4AA"/>
                <w:sz w:val="18"/>
                <w:szCs w:val="18"/>
              </w:rPr>
              <w:t xml:space="preserve">3. Health monitor returns current provider availability</w:t>
            </w:r>
          </w:p>
          <w:p>
            <w:pPr>
              <w:spacing w:after="40" w:before="40"/>
            </w:pPr>
            <w:r>
              <w:rPr>
                <w:rFonts w:ascii="Courier New" w:cs="Courier New" w:eastAsia="Courier New" w:hAnsi="Courier New"/>
                <w:color w:val="00D4AA"/>
                <w:sz w:val="18"/>
                <w:szCs w:val="18"/>
              </w:rPr>
              <w:t xml:space="preserve">4. Routing engine selects optimal provider</w:t>
            </w:r>
          </w:p>
          <w:p>
            <w:pPr>
              <w:spacing w:after="40" w:before="40"/>
            </w:pPr>
            <w:r>
              <w:rPr>
                <w:rFonts w:ascii="Courier New" w:cs="Courier New" w:eastAsia="Courier New" w:hAnsi="Courier New"/>
                <w:color w:val="00D4AA"/>
                <w:sz w:val="18"/>
                <w:szCs w:val="18"/>
              </w:rPr>
              <w:t xml:space="preserve">5. Provider adapter translates request to native format</w:t>
            </w:r>
          </w:p>
          <w:p>
            <w:pPr>
              <w:spacing w:after="40" w:before="40"/>
            </w:pPr>
            <w:r>
              <w:rPr>
                <w:rFonts w:ascii="Courier New" w:cs="Courier New" w:eastAsia="Courier New" w:hAnsi="Courier New"/>
                <w:color w:val="00D4AA"/>
                <w:sz w:val="18"/>
                <w:szCs w:val="18"/>
              </w:rPr>
              <w:t xml:space="preserve">6. Request dispatched to DePIN provider</w:t>
            </w:r>
          </w:p>
          <w:p>
            <w:pPr>
              <w:spacing w:after="40" w:before="40"/>
            </w:pPr>
            <w:r>
              <w:rPr>
                <w:rFonts w:ascii="Courier New" w:cs="Courier New" w:eastAsia="Courier New" w:hAnsi="Courier New"/>
                <w:color w:val="00D4AA"/>
                <w:sz w:val="18"/>
                <w:szCs w:val="18"/>
              </w:rPr>
              <w:t xml:space="preserve">7.  If provider fails → fallback manager tries next tier</w:t>
            </w:r>
          </w:p>
          <w:p>
            <w:pPr>
              <w:spacing w:after="40" w:before="40"/>
            </w:pPr>
            <w:r>
              <w:rPr>
                <w:rFonts w:ascii="Courier New" w:cs="Courier New" w:eastAsia="Courier New" w:hAnsi="Courier New"/>
                <w:color w:val="00D4AA"/>
                <w:sz w:val="18"/>
                <w:szCs w:val="18"/>
              </w:rPr>
              <w:t xml:space="preserve">8. Response normalized back to OpenAI format</w:t>
            </w:r>
          </w:p>
          <w:p>
            <w:pPr>
              <w:spacing w:after="40" w:before="40"/>
            </w:pPr>
            <w:r>
              <w:rPr>
                <w:rFonts w:ascii="Courier New" w:cs="Courier New" w:eastAsia="Courier New" w:hAnsi="Courier New"/>
                <w:color w:val="00D4AA"/>
                <w:sz w:val="18"/>
                <w:szCs w:val="18"/>
              </w:rPr>
              <w:t xml:space="preserve">9. Request logged: provider, latency, cost, fallback used</w:t>
            </w:r>
          </w:p>
          <w:p>
            <w:pPr>
              <w:spacing w:after="40" w:before="40"/>
            </w:pPr>
            <w:r>
              <w:rPr>
                <w:rFonts w:ascii="Courier New" w:cs="Courier New" w:eastAsia="Courier New" w:hAnsi="Courier New"/>
                <w:color w:val="00D4AA"/>
                <w:sz w:val="18"/>
                <w:szCs w:val="18"/>
              </w:rPr>
              <w:t xml:space="preserve">10. Response returned to developer</w:t>
            </w:r>
          </w:p>
        </w:tc>
      </w:tr>
    </w:tbl>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5. Provider Strategy &amp; Fallback Chain</w:t>
      </w:r>
    </w:p>
    <w:p>
      <w:pPr>
        <w:pStyle w:val="Heading3"/>
        <w:spacing w:after="80" w:before="240"/>
      </w:pPr>
      <w:r>
        <w:rPr>
          <w:rFonts w:ascii="Arial" w:cs="Arial" w:eastAsia="Arial" w:hAnsi="Arial"/>
          <w:b/>
          <w:bCs/>
          <w:color w:val="6C63FF"/>
          <w:sz w:val="22"/>
          <w:szCs w:val="22"/>
        </w:rPr>
        <w:t xml:space="preserve">5.1 Fallback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Provider</w:t>
            </w:r>
          </w:p>
        </w:tc>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Role</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Tier 1 — Primary</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io.net</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Largest DePIN GPU network. First routing target for all requests.</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Tier 2 — DePIN Fallback</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Akash Network</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Permissionless cloud. Activated if io.net health check fails.</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Tier 3 — DePIN Extended</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Hyperbolic / Prime Intellect</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Secondary DePIN networks. Activated if Tier 1 and 2 unavailable.</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Tier 4 — Last Resort</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Together.ai / Groq</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Centralized but fast. Activated only if all DePIN tiers fail. Logged and visible to user.</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Tier 5 — Future</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LMX Networking Nodes</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LMX-operated DePIN nodes. Inserted at Tier 1 when live.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C63FF"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4F3FF" w:val="clear"/>
            <w:tcMar>
              <w:top w:type="dxa" w:w="140"/>
              <w:left w:type="dxa" w:w="200"/>
              <w:bottom w:type="dxa" w:w="140"/>
              <w:right w:type="dxa" w:w="200"/>
            </w:tcMar>
          </w:tcPr>
          <w:p>
            <w:r>
              <w:rPr>
                <w:rFonts w:ascii="Arial" w:cs="Arial" w:eastAsia="Arial" w:hAnsi="Arial"/>
                <w:b/>
                <w:bCs/>
                <w:color w:val="6C63FF"/>
                <w:sz w:val="20"/>
                <w:szCs w:val="20"/>
              </w:rPr>
              <w:t xml:space="preserve">Transparency Principle</w:t>
            </w:r>
          </w:p>
          <w:p>
            <w:pPr>
              <w:spacing w:before="60"/>
            </w:pPr>
            <w:r>
              <w:rPr>
                <w:rFonts w:ascii="Arial" w:cs="Arial" w:eastAsia="Arial" w:hAnsi="Arial"/>
                <w:color w:val="1A1A2E"/>
                <w:sz w:val="20"/>
                <w:szCs w:val="20"/>
              </w:rPr>
              <w:t xml:space="preserve">When a request falls back to a centralized provider (Tier 4), it is always logged in the developer dashboard and flagged in the response headers (x-lmx-provider: together-ai). No silent centralization. This is a trust feature, not a footnote.</w:t>
            </w:r>
          </w:p>
        </w:tc>
      </w:tr>
    </w:tbl>
    <w:p>
      <w:pPr>
        <w:spacing w:after="0" w:before="200"/>
      </w:pPr>
      <w:r>
        <w:t xml:space="preserve"/>
      </w:r>
    </w:p>
    <w:p>
      <w:pPr>
        <w:pStyle w:val="Heading3"/>
        <w:spacing w:after="80" w:before="240"/>
      </w:pPr>
      <w:r>
        <w:rPr>
          <w:rFonts w:ascii="Arial" w:cs="Arial" w:eastAsia="Arial" w:hAnsi="Arial"/>
          <w:b/>
          <w:bCs/>
          <w:color w:val="6C63FF"/>
          <w:sz w:val="22"/>
          <w:szCs w:val="22"/>
        </w:rPr>
        <w:t xml:space="preserve">5.2 Health Monitor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FF" w:sz="1"/>
              <w:left w:val="single" w:color="E0DEFF" w:sz="1"/>
              <w:bottom w:val="single" w:color="E0DEFF" w:sz="1"/>
              <w:right w:val="single" w:color="E0DEFF" w:sz="1"/>
            </w:tcBorders>
            <w:shd w:fill="0D0D1A" w:val="clear"/>
            <w:tcMar>
              <w:top w:type="dxa" w:w="200"/>
              <w:left w:type="dxa" w:w="280"/>
              <w:bottom w:type="dxa" w:w="200"/>
              <w:right w:type="dxa" w:w="280"/>
            </w:tcMar>
          </w:tcPr>
          <w:p>
            <w:pPr>
              <w:spacing w:after="40" w:before="40"/>
            </w:pPr>
            <w:r>
              <w:rPr>
                <w:rFonts w:ascii="Courier New" w:cs="Courier New" w:eastAsia="Courier New" w:hAnsi="Courier New"/>
                <w:color w:val="00D4AA"/>
                <w:sz w:val="18"/>
                <w:szCs w:val="18"/>
              </w:rPr>
              <w:t xml:space="preserve">// Health check runs every 30 seconds</w:t>
            </w:r>
          </w:p>
          <w:p>
            <w:pPr>
              <w:spacing w:after="40" w:before="40"/>
            </w:pPr>
            <w:r>
              <w:rPr>
                <w:rFonts w:ascii="Courier New" w:cs="Courier New" w:eastAsia="Courier New" w:hAnsi="Courier New"/>
                <w:color w:val="00D4AA"/>
                <w:sz w:val="18"/>
                <w:szCs w:val="18"/>
              </w:rPr>
              <w:t xml:space="preserve">const providerStatus = {</w:t>
            </w:r>
          </w:p>
          <w:p>
            <w:pPr>
              <w:spacing w:after="40" w:before="40"/>
            </w:pPr>
            <w:r>
              <w:rPr>
                <w:rFonts w:ascii="Courier New" w:cs="Courier New" w:eastAsia="Courier New" w:hAnsi="Courier New"/>
                <w:color w:val="00D4AA"/>
                <w:sz w:val="18"/>
                <w:szCs w:val="18"/>
              </w:rPr>
              <w:t xml:space="preserve">  'ionet':      { healthy: true,  latency: 340, lastCheck: Date.now() },</w:t>
            </w:r>
          </w:p>
          <w:p>
            <w:pPr>
              <w:spacing w:after="40" w:before="40"/>
            </w:pPr>
            <w:r>
              <w:rPr>
                <w:rFonts w:ascii="Courier New" w:cs="Courier New" w:eastAsia="Courier New" w:hAnsi="Courier New"/>
                <w:color w:val="00D4AA"/>
                <w:sz w:val="18"/>
                <w:szCs w:val="18"/>
              </w:rPr>
              <w:t xml:space="preserve">  'akash':      { healthy: true,  latency: 510, lastCheck: Date.now() },</w:t>
            </w:r>
          </w:p>
          <w:p>
            <w:pPr>
              <w:spacing w:after="40" w:before="40"/>
            </w:pPr>
            <w:r>
              <w:rPr>
                <w:rFonts w:ascii="Courier New" w:cs="Courier New" w:eastAsia="Courier New" w:hAnsi="Courier New"/>
                <w:color w:val="00D4AA"/>
                <w:sz w:val="18"/>
                <w:szCs w:val="18"/>
              </w:rPr>
              <w:t xml:space="preserve">  'hyperbolic': { healthy: false, latency: null, lastCheck: Date.now() },</w:t>
            </w:r>
          </w:p>
          <w:p>
            <w:pPr>
              <w:spacing w:after="40" w:before="40"/>
            </w:pPr>
            <w:r>
              <w:rPr>
                <w:rFonts w:ascii="Courier New" w:cs="Courier New" w:eastAsia="Courier New" w:hAnsi="Courier New"/>
                <w:color w:val="00D4AA"/>
                <w:sz w:val="18"/>
                <w:szCs w:val="18"/>
              </w:rPr>
              <w:t xml:space="preserve">  'together':   { healthy: true,  latency: 180, lastCheck: Date.now() }</w:t>
            </w:r>
          </w:p>
          <w:p>
            <w:pPr>
              <w:spacing w:after="40" w:before="40"/>
            </w:pPr>
            <w:r>
              <w:rPr>
                <w:rFonts w:ascii="Courier New" w:cs="Courier New" w:eastAsia="Courier New" w:hAnsi="Courier New"/>
                <w:color w:val="00D4AA"/>
                <w:sz w:val="18"/>
                <w:szCs w:val="18"/>
              </w:rPr>
              <w:t xml:space="preserve">};</w:t>
            </w:r>
          </w:p>
          <w:p>
            <w:pPr>
              <w:spacing w:after="40" w:before="40"/>
            </w:pPr>
            <w:r>
              <w:rPr>
                <w:rFonts w:ascii="Courier New" w:cs="Courier New" w:eastAsia="Courier New" w:hAnsi="Courier New"/>
                <w:color w:val="00D4AA"/>
                <w:sz w:val="18"/>
                <w:szCs w:val="18"/>
              </w:rPr>
              <w:t xml:space="preserve"/>
            </w:r>
          </w:p>
          <w:p>
            <w:pPr>
              <w:spacing w:after="40" w:before="40"/>
            </w:pPr>
            <w:r>
              <w:rPr>
                <w:rFonts w:ascii="Courier New" w:cs="Courier New" w:eastAsia="Courier New" w:hAnsi="Courier New"/>
                <w:color w:val="00D4AA"/>
                <w:sz w:val="18"/>
                <w:szCs w:val="18"/>
              </w:rPr>
              <w:t xml:space="preserve">// Router reads this table — never attempts live health check on request</w:t>
            </w:r>
          </w:p>
        </w:tc>
      </w:tr>
    </w:tbl>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6. API Specification</w:t>
      </w:r>
    </w:p>
    <w:p>
      <w:pPr>
        <w:pStyle w:val="Heading3"/>
        <w:spacing w:after="80" w:before="240"/>
      </w:pPr>
      <w:r>
        <w:rPr>
          <w:rFonts w:ascii="Arial" w:cs="Arial" w:eastAsia="Arial" w:hAnsi="Arial"/>
          <w:b/>
          <w:bCs/>
          <w:color w:val="6C63FF"/>
          <w:sz w:val="22"/>
          <w:szCs w:val="22"/>
        </w:rPr>
        <w:t xml:space="preserve">6.1 Endpoints —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624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POST /v1/chat/completions</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Main inference endpoint. OpenAI-compatible request/response format.</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GET /v1/models</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Returns available models across all healthy DePIN providers.</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GET /v1/status</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Provider health status, current uptime, and fallback chain state.</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GET /v1/usage</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Per-API-key usage stats: requests, tokens, cost, provider breakdown.</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POST /v1/auth/key</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Generate a new API key linked to a wallet address or email.</w:t>
            </w:r>
          </w:p>
        </w:tc>
      </w:tr>
    </w:tbl>
    <w:p>
      <w:pPr>
        <w:spacing w:after="0" w:before="200"/>
      </w:pPr>
      <w:r>
        <w:t xml:space="preserve"/>
      </w:r>
    </w:p>
    <w:p>
      <w:pPr>
        <w:pStyle w:val="Heading3"/>
        <w:spacing w:after="80" w:before="240"/>
      </w:pPr>
      <w:r>
        <w:rPr>
          <w:rFonts w:ascii="Arial" w:cs="Arial" w:eastAsia="Arial" w:hAnsi="Arial"/>
          <w:b/>
          <w:bCs/>
          <w:color w:val="6C63FF"/>
          <w:sz w:val="22"/>
          <w:szCs w:val="22"/>
        </w:rPr>
        <w:t xml:space="preserve">6.2 Custom LMX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Header</w:t>
            </w:r>
          </w:p>
        </w:tc>
        <w:tc>
          <w:tcPr>
            <w:tcW w:type="dxa" w:w="624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x-lmx-prefer</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Routing strategy: cheapest | fastest | depin-only | provider:ionet</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x-lmx-provider</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Response header: which provider served the request</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x-lmx-fallback</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Response header: true if fallback was triggered</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x-lmx-cost</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Response header: cost in USD and MITH for this request</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x-lmx-latency</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Response header: end-to-end latency in milliseconds</w:t>
            </w:r>
          </w:p>
        </w:tc>
      </w:tr>
    </w:tbl>
    <w:p>
      <w:pPr>
        <w:spacing w:after="0" w:before="200"/>
      </w:pPr>
      <w:r>
        <w:t xml:space="preserve"/>
      </w:r>
    </w:p>
    <w:p>
      <w:pPr>
        <w:pStyle w:val="Heading3"/>
        <w:spacing w:after="80" w:before="240"/>
      </w:pPr>
      <w:r>
        <w:rPr>
          <w:rFonts w:ascii="Arial" w:cs="Arial" w:eastAsia="Arial" w:hAnsi="Arial"/>
          <w:b/>
          <w:bCs/>
          <w:color w:val="6C63FF"/>
          <w:sz w:val="22"/>
          <w:szCs w:val="22"/>
        </w:rPr>
        <w:t xml:space="preserve">6.3 Authentication</w:t>
      </w:r>
    </w:p>
    <w:p>
      <w:pPr>
        <w:spacing w:after="120" w:before="80"/>
      </w:pPr>
      <w:r>
        <w:rPr>
          <w:rFonts w:ascii="Arial" w:cs="Arial" w:eastAsia="Arial" w:hAnsi="Arial"/>
          <w:color w:val="1A1A2E"/>
          <w:sz w:val="22"/>
          <w:szCs w:val="22"/>
        </w:rPr>
        <w:t xml:space="preserve">API keys follow the format lmx_[32-char-hex]. Keys are generated at signup and linked to either a wallet address (for crypto payment) or an email (for fiat/credit payment). Rate limits are enforced at the key level.</w:t>
      </w:r>
    </w:p>
    <w:p>
      <w:pPr>
        <w:spacing w:after="0" w:before="200"/>
      </w:pPr>
      <w:r>
        <w:t xml:space="preserve"/>
      </w:r>
    </w:p>
    <w:p>
      <w:pPr>
        <w:pStyle w:val="Heading3"/>
        <w:spacing w:after="80" w:before="240"/>
      </w:pPr>
      <w:r>
        <w:rPr>
          <w:rFonts w:ascii="Arial" w:cs="Arial" w:eastAsia="Arial" w:hAnsi="Arial"/>
          <w:b/>
          <w:bCs/>
          <w:color w:val="6C63FF"/>
          <w:sz w:val="22"/>
          <w:szCs w:val="22"/>
        </w:rPr>
        <w:t xml:space="preserve">6.4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Error</w:t>
            </w:r>
          </w:p>
        </w:tc>
        <w:tc>
          <w:tcPr>
            <w:tcW w:type="dxa" w:w="624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429 — Rate Limited</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Request exceeds key-level rate limit. Retry-After header included.</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402 — Insufficient Credits</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API key balance depleted. Top up via dashboard.</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503 — All Providers Down</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All DePIN tiers unavailable and depin-only mode active. Rare.</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504 — Provider Timeout</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Upstream DePIN provider exceeded 30s timeout. Fallback triggered.</w:t>
            </w:r>
          </w:p>
        </w:tc>
      </w:tr>
    </w:tbl>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7. Payment Layer</w:t>
      </w:r>
    </w:p>
    <w:p>
      <w:pPr>
        <w:pStyle w:val="Heading3"/>
        <w:spacing w:after="80" w:before="240"/>
      </w:pPr>
      <w:r>
        <w:rPr>
          <w:rFonts w:ascii="Arial" w:cs="Arial" w:eastAsia="Arial" w:hAnsi="Arial"/>
          <w:b/>
          <w:bCs/>
          <w:color w:val="6C63FF"/>
          <w:sz w:val="22"/>
          <w:szCs w:val="22"/>
        </w:rPr>
        <w:t xml:space="preserve">7.1 MVP Payment Methods</w:t>
      </w:r>
    </w:p>
    <w:p>
      <w:pPr>
        <w:pStyle w:val="ListParagraph"/>
        <w:numPr>
          <w:ilvl w:val="0"/>
          <w:numId w:val="2"/>
        </w:numPr>
        <w:spacing w:after="60" w:before="60"/>
      </w:pPr>
      <w:r>
        <w:rPr>
          <w:rFonts w:ascii="Arial" w:cs="Arial" w:eastAsia="Arial" w:hAnsi="Arial"/>
          <w:color w:val="1A1A2E"/>
          <w:sz w:val="22"/>
          <w:szCs w:val="22"/>
        </w:rPr>
        <w:t xml:space="preserve">USDC on Base testnet — primary crypto payment method</w:t>
      </w:r>
    </w:p>
    <w:p>
      <w:pPr>
        <w:pStyle w:val="ListParagraph"/>
        <w:numPr>
          <w:ilvl w:val="0"/>
          <w:numId w:val="2"/>
        </w:numPr>
        <w:spacing w:after="60" w:before="60"/>
      </w:pPr>
      <w:r>
        <w:rPr>
          <w:rFonts w:ascii="Arial" w:cs="Arial" w:eastAsia="Arial" w:hAnsi="Arial"/>
          <w:color w:val="1A1A2E"/>
          <w:sz w:val="22"/>
          <w:szCs w:val="22"/>
        </w:rPr>
        <w:t xml:space="preserve">MITH testnet tokens — LMX ecosystem currency, accepted at a discount to incentivize adoption</w:t>
      </w:r>
    </w:p>
    <w:p>
      <w:pPr>
        <w:pStyle w:val="ListParagraph"/>
        <w:numPr>
          <w:ilvl w:val="0"/>
          <w:numId w:val="2"/>
        </w:numPr>
        <w:spacing w:after="60" w:before="60"/>
      </w:pPr>
      <w:r>
        <w:rPr>
          <w:rFonts w:ascii="Arial" w:cs="Arial" w:eastAsia="Arial" w:hAnsi="Arial"/>
          <w:color w:val="1A1A2E"/>
          <w:sz w:val="22"/>
          <w:szCs w:val="22"/>
        </w:rPr>
        <w:t xml:space="preserve">Credit-based system — developer pre-loads credits, deducted per request</w:t>
      </w:r>
    </w:p>
    <w:p>
      <w:pPr>
        <w:spacing w:after="0" w:before="160"/>
      </w:pPr>
      <w:r>
        <w:t xml:space="preserve"/>
      </w:r>
    </w:p>
    <w:p>
      <w:pPr>
        <w:pStyle w:val="Heading3"/>
        <w:spacing w:after="80" w:before="240"/>
      </w:pPr>
      <w:r>
        <w:rPr>
          <w:rFonts w:ascii="Arial" w:cs="Arial" w:eastAsia="Arial" w:hAnsi="Arial"/>
          <w:b/>
          <w:bCs/>
          <w:color w:val="6C63FF"/>
          <w:sz w:val="22"/>
          <w:szCs w:val="22"/>
        </w:rPr>
        <w:t xml:space="preserve">7.2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Provider</w:t>
            </w:r>
          </w:p>
        </w:tc>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Base Cost</w:t>
            </w:r>
          </w:p>
        </w:tc>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io.net (Tier 1)</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~$0.0002 / 1K tokens</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Passed through with 15% routing fee</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Akash (Tier 2)</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~$0.0001 / 1K tokens</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Passed through with 15% routing fee</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Together.ai (Tier 4)</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~$0.0004 / 1K tokens</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Passed through with 10% fee — fallback only</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MITH payment</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10% discount vs USDC</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Incentivizes MITH utility before mainnet</w:t>
            </w:r>
          </w:p>
        </w:tc>
      </w:tr>
    </w:tbl>
    <w:p>
      <w:pPr>
        <w:spacing w:after="0" w:before="160"/>
      </w:pPr>
      <w:r>
        <w:t xml:space="preserve"/>
      </w:r>
    </w:p>
    <w:p>
      <w:pPr>
        <w:pStyle w:val="Heading3"/>
        <w:spacing w:after="80" w:before="240"/>
      </w:pPr>
      <w:r>
        <w:rPr>
          <w:rFonts w:ascii="Arial" w:cs="Arial" w:eastAsia="Arial" w:hAnsi="Arial"/>
          <w:b/>
          <w:bCs/>
          <w:color w:val="6C63FF"/>
          <w:sz w:val="22"/>
          <w:szCs w:val="22"/>
        </w:rPr>
        <w:t xml:space="preserve">7.3 Smart Contract (EVM Testnet)</w:t>
      </w:r>
    </w:p>
    <w:p>
      <w:pPr>
        <w:spacing w:after="120" w:before="80"/>
      </w:pPr>
      <w:r>
        <w:rPr>
          <w:rFonts w:ascii="Arial" w:cs="Arial" w:eastAsia="Arial" w:hAnsi="Arial"/>
          <w:color w:val="1A1A2E"/>
          <w:sz w:val="22"/>
          <w:szCs w:val="22"/>
        </w:rPr>
        <w:t xml:space="preserve">A minimal ERC-20 compatible contract handles credit deposits and balance tracking. On-chain for auditability — every top-up is a verifiable transaction. Withdrawals and payouts to providers are batched weekly in the MVP to minimize 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FF" w:sz="1"/>
              <w:left w:val="single" w:color="E0DEFF" w:sz="1"/>
              <w:bottom w:val="single" w:color="E0DEFF" w:sz="1"/>
              <w:right w:val="single" w:color="E0DEFF" w:sz="1"/>
            </w:tcBorders>
            <w:shd w:fill="0D0D1A" w:val="clear"/>
            <w:tcMar>
              <w:top w:type="dxa" w:w="200"/>
              <w:left w:type="dxa" w:w="280"/>
              <w:bottom w:type="dxa" w:w="200"/>
              <w:right w:type="dxa" w:w="280"/>
            </w:tcMar>
          </w:tcPr>
          <w:p>
            <w:pPr>
              <w:spacing w:after="40" w:before="40"/>
            </w:pPr>
            <w:r>
              <w:rPr>
                <w:rFonts w:ascii="Courier New" w:cs="Courier New" w:eastAsia="Courier New" w:hAnsi="Courier New"/>
                <w:color w:val="00D4AA"/>
                <w:sz w:val="18"/>
                <w:szCs w:val="18"/>
              </w:rPr>
              <w:t xml:space="preserve">// Minimal credit contract interface</w:t>
            </w:r>
          </w:p>
          <w:p>
            <w:pPr>
              <w:spacing w:after="40" w:before="40"/>
            </w:pPr>
            <w:r>
              <w:rPr>
                <w:rFonts w:ascii="Courier New" w:cs="Courier New" w:eastAsia="Courier New" w:hAnsi="Courier New"/>
                <w:color w:val="00D4AA"/>
                <w:sz w:val="18"/>
                <w:szCs w:val="18"/>
              </w:rPr>
              <w:t xml:space="preserve">interface ILMXCredits {</w:t>
            </w:r>
          </w:p>
          <w:p>
            <w:pPr>
              <w:spacing w:after="40" w:before="40"/>
            </w:pPr>
            <w:r>
              <w:rPr>
                <w:rFonts w:ascii="Courier New" w:cs="Courier New" w:eastAsia="Courier New" w:hAnsi="Courier New"/>
                <w:color w:val="00D4AA"/>
                <w:sz w:val="18"/>
                <w:szCs w:val="18"/>
              </w:rPr>
              <w:t xml:space="preserve">  function deposit(address user, uint256 amount) external;</w:t>
            </w:r>
          </w:p>
          <w:p>
            <w:pPr>
              <w:spacing w:after="40" w:before="40"/>
            </w:pPr>
            <w:r>
              <w:rPr>
                <w:rFonts w:ascii="Courier New" w:cs="Courier New" w:eastAsia="Courier New" w:hAnsi="Courier New"/>
                <w:color w:val="00D4AA"/>
                <w:sz w:val="18"/>
                <w:szCs w:val="18"/>
              </w:rPr>
              <w:t xml:space="preserve">  function deduct(address user, uint256 amount) external;</w:t>
            </w:r>
          </w:p>
          <w:p>
            <w:pPr>
              <w:spacing w:after="40" w:before="40"/>
            </w:pPr>
            <w:r>
              <w:rPr>
                <w:rFonts w:ascii="Courier New" w:cs="Courier New" w:eastAsia="Courier New" w:hAnsi="Courier New"/>
                <w:color w:val="00D4AA"/>
                <w:sz w:val="18"/>
                <w:szCs w:val="18"/>
              </w:rPr>
              <w:t xml:space="preserve">  function balanceOf(address user) external view returns (uint256);</w:t>
            </w:r>
          </w:p>
          <w:p>
            <w:pPr>
              <w:spacing w:after="40" w:before="40"/>
            </w:pPr>
            <w:r>
              <w:rPr>
                <w:rFonts w:ascii="Courier New" w:cs="Courier New" w:eastAsia="Courier New" w:hAnsi="Courier New"/>
                <w:color w:val="00D4AA"/>
                <w:sz w:val="18"/>
                <w:szCs w:val="18"/>
              </w:rPr>
              <w:t xml:space="preserve">}</w:t>
            </w:r>
          </w:p>
        </w:tc>
      </w:tr>
    </w:tbl>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8. Developer Experience</w:t>
      </w:r>
    </w:p>
    <w:p>
      <w:pPr>
        <w:pStyle w:val="Heading3"/>
        <w:spacing w:after="80" w:before="240"/>
      </w:pPr>
      <w:r>
        <w:rPr>
          <w:rFonts w:ascii="Arial" w:cs="Arial" w:eastAsia="Arial" w:hAnsi="Arial"/>
          <w:b/>
          <w:bCs/>
          <w:color w:val="6C63FF"/>
          <w:sz w:val="22"/>
          <w:szCs w:val="22"/>
        </w:rPr>
        <w:t xml:space="preserve">8.1 Onboarding Flow</w:t>
      </w:r>
    </w:p>
    <w:p>
      <w:pPr>
        <w:spacing w:after="120" w:before="80"/>
      </w:pPr>
      <w:r>
        <w:rPr>
          <w:rFonts w:ascii="Arial" w:cs="Arial" w:eastAsia="Arial" w:hAnsi="Arial"/>
          <w:color w:val="1A1A2E"/>
          <w:sz w:val="22"/>
          <w:szCs w:val="22"/>
        </w:rPr>
        <w:t xml:space="preserve">The full path from discovery to first successful inference call must be under 5 minutes. This is a hard requirement for the MVP.</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Visit lmxcloud.io → click Get API Key</w:t>
      </w:r>
    </w:p>
    <w:p>
      <w:pPr>
        <w:pStyle w:val="ListParagraph"/>
        <w:numPr>
          <w:ilvl w:val="0"/>
          <w:numId w:val="3"/>
        </w:numPr>
        <w:spacing w:after="60" w:before="60"/>
      </w:pPr>
      <w:r>
        <w:rPr>
          <w:rFonts w:ascii="Arial" w:cs="Arial" w:eastAsia="Arial" w:hAnsi="Arial"/>
          <w:sz w:val="22"/>
          <w:szCs w:val="22"/>
        </w:rPr>
        <w:t xml:space="preserve">Connect wallet or enter email → key generated instantly</w:t>
      </w:r>
    </w:p>
    <w:p>
      <w:pPr>
        <w:pStyle w:val="ListParagraph"/>
        <w:numPr>
          <w:ilvl w:val="0"/>
          <w:numId w:val="3"/>
        </w:numPr>
        <w:spacing w:after="60" w:before="60"/>
      </w:pPr>
      <w:r>
        <w:rPr>
          <w:rFonts w:ascii="Arial" w:cs="Arial" w:eastAsia="Arial" w:hAnsi="Arial"/>
          <w:sz w:val="22"/>
          <w:szCs w:val="22"/>
        </w:rPr>
        <w:t xml:space="preserve">Free tier: 100K tokens to start, no credit card required</w:t>
      </w:r>
    </w:p>
    <w:p>
      <w:pPr>
        <w:pStyle w:val="ListParagraph"/>
        <w:numPr>
          <w:ilvl w:val="0"/>
          <w:numId w:val="3"/>
        </w:numPr>
        <w:spacing w:after="60" w:before="60"/>
      </w:pPr>
      <w:r>
        <w:rPr>
          <w:rFonts w:ascii="Arial" w:cs="Arial" w:eastAsia="Arial" w:hAnsi="Arial"/>
          <w:sz w:val="22"/>
          <w:szCs w:val="22"/>
        </w:rPr>
        <w:t xml:space="preserve">Swap base URL to https://api.lmxcloud.io — done</w:t>
      </w:r>
    </w:p>
    <w:p>
      <w:pPr>
        <w:spacing w:after="0" w:before="200"/>
      </w:pPr>
      <w:r>
        <w:t xml:space="preserve"/>
      </w:r>
    </w:p>
    <w:p>
      <w:pPr>
        <w:pStyle w:val="Heading3"/>
        <w:spacing w:after="80" w:before="240"/>
      </w:pPr>
      <w:r>
        <w:rPr>
          <w:rFonts w:ascii="Arial" w:cs="Arial" w:eastAsia="Arial" w:hAnsi="Arial"/>
          <w:b/>
          <w:bCs/>
          <w:color w:val="6C63FF"/>
          <w:sz w:val="22"/>
          <w:szCs w:val="22"/>
        </w:rPr>
        <w:t xml:space="preserve">8.2 SDK Support (MVP)</w:t>
      </w:r>
    </w:p>
    <w:p>
      <w:pPr>
        <w:pStyle w:val="ListParagraph"/>
        <w:numPr>
          <w:ilvl w:val="0"/>
          <w:numId w:val="2"/>
        </w:numPr>
        <w:spacing w:after="60" w:before="60"/>
      </w:pPr>
      <w:r>
        <w:rPr>
          <w:rFonts w:ascii="Arial" w:cs="Arial" w:eastAsia="Arial" w:hAnsi="Arial"/>
          <w:color w:val="1A1A2E"/>
          <w:sz w:val="22"/>
          <w:szCs w:val="22"/>
        </w:rPr>
        <w:t xml:space="preserve">JavaScript / TypeScript — primary SDK, ships with router</w:t>
      </w:r>
    </w:p>
    <w:p>
      <w:pPr>
        <w:pStyle w:val="ListParagraph"/>
        <w:numPr>
          <w:ilvl w:val="0"/>
          <w:numId w:val="2"/>
        </w:numPr>
        <w:spacing w:after="60" w:before="60"/>
      </w:pPr>
      <w:r>
        <w:rPr>
          <w:rFonts w:ascii="Arial" w:cs="Arial" w:eastAsia="Arial" w:hAnsi="Arial"/>
          <w:color w:val="1A1A2E"/>
          <w:sz w:val="22"/>
          <w:szCs w:val="22"/>
        </w:rPr>
        <w:t xml:space="preserve">Python — second priority, covers ML/research use cases</w:t>
      </w:r>
    </w:p>
    <w:p>
      <w:pPr>
        <w:pStyle w:val="ListParagraph"/>
        <w:numPr>
          <w:ilvl w:val="0"/>
          <w:numId w:val="2"/>
        </w:numPr>
        <w:spacing w:after="60" w:before="60"/>
      </w:pPr>
      <w:r>
        <w:rPr>
          <w:rFonts w:ascii="Arial" w:cs="Arial" w:eastAsia="Arial" w:hAnsi="Arial"/>
          <w:color w:val="1A1A2E"/>
          <w:sz w:val="22"/>
          <w:szCs w:val="22"/>
        </w:rPr>
        <w:t xml:space="preserve">cURL examples — every endpoint documented with copy-paste examples</w:t>
      </w:r>
    </w:p>
    <w:p>
      <w:pPr>
        <w:pStyle w:val="ListParagraph"/>
        <w:numPr>
          <w:ilvl w:val="0"/>
          <w:numId w:val="2"/>
        </w:numPr>
        <w:spacing w:after="60" w:before="60"/>
      </w:pPr>
      <w:r>
        <w:rPr>
          <w:rFonts w:ascii="Arial" w:cs="Arial" w:eastAsia="Arial" w:hAnsi="Arial"/>
          <w:color w:val="1A1A2E"/>
          <w:sz w:val="22"/>
          <w:szCs w:val="22"/>
        </w:rPr>
        <w:t xml:space="preserve">OpenAI SDK compatibility — works out of the box by changing baseURL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FF" w:sz="1"/>
              <w:left w:val="single" w:color="E0DEFF" w:sz="1"/>
              <w:bottom w:val="single" w:color="E0DEFF" w:sz="1"/>
              <w:right w:val="single" w:color="E0DEFF" w:sz="1"/>
            </w:tcBorders>
            <w:shd w:fill="0D0D1A" w:val="clear"/>
            <w:tcMar>
              <w:top w:type="dxa" w:w="200"/>
              <w:left w:type="dxa" w:w="280"/>
              <w:bottom w:type="dxa" w:w="200"/>
              <w:right w:type="dxa" w:w="280"/>
            </w:tcMar>
          </w:tcPr>
          <w:p>
            <w:pPr>
              <w:spacing w:after="40" w:before="40"/>
            </w:pPr>
            <w:r>
              <w:rPr>
                <w:rFonts w:ascii="Courier New" w:cs="Courier New" w:eastAsia="Courier New" w:hAnsi="Courier New"/>
                <w:color w:val="00D4AA"/>
                <w:sz w:val="18"/>
                <w:szCs w:val="18"/>
              </w:rPr>
              <w:t xml:space="preserve">// Works with the official OpenAI JS SDK — zero changes to app logic</w:t>
            </w:r>
          </w:p>
          <w:p>
            <w:pPr>
              <w:spacing w:after="40" w:before="40"/>
            </w:pPr>
            <w:r>
              <w:rPr>
                <w:rFonts w:ascii="Courier New" w:cs="Courier New" w:eastAsia="Courier New" w:hAnsi="Courier New"/>
                <w:color w:val="00D4AA"/>
                <w:sz w:val="18"/>
                <w:szCs w:val="18"/>
              </w:rPr>
              <w:t xml:space="preserve">import OpenAI from 'openai';</w:t>
            </w:r>
          </w:p>
          <w:p>
            <w:pPr>
              <w:spacing w:after="40" w:before="40"/>
            </w:pPr>
            <w:r>
              <w:rPr>
                <w:rFonts w:ascii="Courier New" w:cs="Courier New" w:eastAsia="Courier New" w:hAnsi="Courier New"/>
                <w:color w:val="00D4AA"/>
                <w:sz w:val="18"/>
                <w:szCs w:val="18"/>
              </w:rPr>
              <w:t xml:space="preserve"/>
            </w:r>
          </w:p>
          <w:p>
            <w:pPr>
              <w:spacing w:after="40" w:before="40"/>
            </w:pPr>
            <w:r>
              <w:rPr>
                <w:rFonts w:ascii="Courier New" w:cs="Courier New" w:eastAsia="Courier New" w:hAnsi="Courier New"/>
                <w:color w:val="00D4AA"/>
                <w:sz w:val="18"/>
                <w:szCs w:val="18"/>
              </w:rPr>
              <w:t xml:space="preserve">const client = new OpenAI({</w:t>
            </w:r>
          </w:p>
          <w:p>
            <w:pPr>
              <w:spacing w:after="40" w:before="40"/>
            </w:pPr>
            <w:r>
              <w:rPr>
                <w:rFonts w:ascii="Courier New" w:cs="Courier New" w:eastAsia="Courier New" w:hAnsi="Courier New"/>
                <w:color w:val="00D4AA"/>
                <w:sz w:val="18"/>
                <w:szCs w:val="18"/>
              </w:rPr>
              <w:t xml:space="preserve">  apiKey: 'lmx_your_key_here',</w:t>
            </w:r>
          </w:p>
          <w:p>
            <w:pPr>
              <w:spacing w:after="40" w:before="40"/>
            </w:pPr>
            <w:r>
              <w:rPr>
                <w:rFonts w:ascii="Courier New" w:cs="Courier New" w:eastAsia="Courier New" w:hAnsi="Courier New"/>
                <w:color w:val="00D4AA"/>
                <w:sz w:val="18"/>
                <w:szCs w:val="18"/>
              </w:rPr>
              <w:t xml:space="preserve">  baseURL: 'https://api.lmxcloud.io/v1',</w:t>
            </w:r>
          </w:p>
          <w:p>
            <w:pPr>
              <w:spacing w:after="40" w:before="40"/>
            </w:pPr>
            <w:r>
              <w:rPr>
                <w:rFonts w:ascii="Courier New" w:cs="Courier New" w:eastAsia="Courier New" w:hAnsi="Courier New"/>
                <w:color w:val="00D4AA"/>
                <w:sz w:val="18"/>
                <w:szCs w:val="18"/>
              </w:rPr>
              <w:t xml:space="preserve">});</w:t>
            </w:r>
          </w:p>
          <w:p>
            <w:pPr>
              <w:spacing w:after="40" w:before="40"/>
            </w:pPr>
            <w:r>
              <w:rPr>
                <w:rFonts w:ascii="Courier New" w:cs="Courier New" w:eastAsia="Courier New" w:hAnsi="Courier New"/>
                <w:color w:val="00D4AA"/>
                <w:sz w:val="18"/>
                <w:szCs w:val="18"/>
              </w:rPr>
              <w:t xml:space="preserve"/>
            </w:r>
          </w:p>
          <w:p>
            <w:pPr>
              <w:spacing w:after="40" w:before="40"/>
            </w:pPr>
            <w:r>
              <w:rPr>
                <w:rFonts w:ascii="Courier New" w:cs="Courier New" w:eastAsia="Courier New" w:hAnsi="Courier New"/>
                <w:color w:val="00D4AA"/>
                <w:sz w:val="18"/>
                <w:szCs w:val="18"/>
              </w:rPr>
              <w:t xml:space="preserve">const response = await client.chat.completions.create({</w:t>
            </w:r>
          </w:p>
          <w:p>
            <w:pPr>
              <w:spacing w:after="40" w:before="40"/>
            </w:pPr>
            <w:r>
              <w:rPr>
                <w:rFonts w:ascii="Courier New" w:cs="Courier New" w:eastAsia="Courier New" w:hAnsi="Courier New"/>
                <w:color w:val="00D4AA"/>
                <w:sz w:val="18"/>
                <w:szCs w:val="18"/>
              </w:rPr>
              <w:t xml:space="preserve">  model: 'llama-3-70b',</w:t>
            </w:r>
          </w:p>
          <w:p>
            <w:pPr>
              <w:spacing w:after="40" w:before="40"/>
            </w:pPr>
            <w:r>
              <w:rPr>
                <w:rFonts w:ascii="Courier New" w:cs="Courier New" w:eastAsia="Courier New" w:hAnsi="Courier New"/>
                <w:color w:val="00D4AA"/>
                <w:sz w:val="18"/>
                <w:szCs w:val="18"/>
              </w:rPr>
              <w:t xml:space="preserve">  messages: [{ role: 'user', content: 'Hello from DePIN compute' }],</w:t>
            </w:r>
          </w:p>
          <w:p>
            <w:pPr>
              <w:spacing w:after="40" w:before="40"/>
            </w:pPr>
            <w:r>
              <w:rPr>
                <w:rFonts w:ascii="Courier New" w:cs="Courier New" w:eastAsia="Courier New" w:hAnsi="Courier New"/>
                <w:color w:val="00D4AA"/>
                <w:sz w:val="18"/>
                <w:szCs w:val="18"/>
              </w:rPr>
              <w:t xml:space="preserve">});</w:t>
            </w:r>
          </w:p>
        </w:tc>
      </w:tr>
    </w:tbl>
    <w:p>
      <w:pPr>
        <w:spacing w:after="0" w:before="200"/>
      </w:pPr>
      <w:r>
        <w:t xml:space="preserve"/>
      </w:r>
    </w:p>
    <w:p>
      <w:pPr>
        <w:pStyle w:val="Heading3"/>
        <w:spacing w:after="80" w:before="240"/>
      </w:pPr>
      <w:r>
        <w:rPr>
          <w:rFonts w:ascii="Arial" w:cs="Arial" w:eastAsia="Arial" w:hAnsi="Arial"/>
          <w:b/>
          <w:bCs/>
          <w:color w:val="6C63FF"/>
          <w:sz w:val="22"/>
          <w:szCs w:val="22"/>
        </w:rPr>
        <w:t xml:space="preserve">8.3 Developer Dashboard</w:t>
      </w:r>
    </w:p>
    <w:p>
      <w:pPr>
        <w:spacing w:after="120" w:before="80"/>
      </w:pPr>
      <w:r>
        <w:rPr>
          <w:rFonts w:ascii="Arial" w:cs="Arial" w:eastAsia="Arial" w:hAnsi="Arial"/>
          <w:color w:val="1A1A2E"/>
          <w:sz w:val="22"/>
          <w:szCs w:val="22"/>
        </w:rPr>
        <w:t xml:space="preserve">A minimal but polished web dashboard showing:</w:t>
      </w:r>
    </w:p>
    <w:p>
      <w:pPr>
        <w:pStyle w:val="ListParagraph"/>
        <w:numPr>
          <w:ilvl w:val="0"/>
          <w:numId w:val="2"/>
        </w:numPr>
        <w:spacing w:after="60" w:before="60"/>
      </w:pPr>
      <w:r>
        <w:rPr>
          <w:rFonts w:ascii="Arial" w:cs="Arial" w:eastAsia="Arial" w:hAnsi="Arial"/>
          <w:color w:val="1A1A2E"/>
          <w:sz w:val="22"/>
          <w:szCs w:val="22"/>
        </w:rPr>
        <w:t xml:space="preserve">Live request feed with provider, latency, cost, and fallback status per request</w:t>
      </w:r>
    </w:p>
    <w:p>
      <w:pPr>
        <w:pStyle w:val="ListParagraph"/>
        <w:numPr>
          <w:ilvl w:val="0"/>
          <w:numId w:val="2"/>
        </w:numPr>
        <w:spacing w:after="60" w:before="60"/>
      </w:pPr>
      <w:r>
        <w:rPr>
          <w:rFonts w:ascii="Arial" w:cs="Arial" w:eastAsia="Arial" w:hAnsi="Arial"/>
          <w:color w:val="1A1A2E"/>
          <w:sz w:val="22"/>
          <w:szCs w:val="22"/>
        </w:rPr>
        <w:t xml:space="preserve">Token usage and credit balance with top-up button</w:t>
      </w:r>
    </w:p>
    <w:p>
      <w:pPr>
        <w:pStyle w:val="ListParagraph"/>
        <w:numPr>
          <w:ilvl w:val="0"/>
          <w:numId w:val="2"/>
        </w:numPr>
        <w:spacing w:after="60" w:before="60"/>
      </w:pPr>
      <w:r>
        <w:rPr>
          <w:rFonts w:ascii="Arial" w:cs="Arial" w:eastAsia="Arial" w:hAnsi="Arial"/>
          <w:color w:val="1A1A2E"/>
          <w:sz w:val="22"/>
          <w:szCs w:val="22"/>
        </w:rPr>
        <w:t xml:space="preserve">Provider health panel — real-time uptime for each DePIN tier</w:t>
      </w:r>
    </w:p>
    <w:p>
      <w:pPr>
        <w:pStyle w:val="ListParagraph"/>
        <w:numPr>
          <w:ilvl w:val="0"/>
          <w:numId w:val="2"/>
        </w:numPr>
        <w:spacing w:after="60" w:before="60"/>
      </w:pPr>
      <w:r>
        <w:rPr>
          <w:rFonts w:ascii="Arial" w:cs="Arial" w:eastAsia="Arial" w:hAnsi="Arial"/>
          <w:color w:val="1A1A2E"/>
          <w:sz w:val="22"/>
          <w:szCs w:val="22"/>
        </w:rPr>
        <w:t xml:space="preserve">API key management — generate, rotate, revoke</w:t>
      </w:r>
    </w:p>
    <w:p>
      <w:pPr>
        <w:pStyle w:val="ListParagraph"/>
        <w:numPr>
          <w:ilvl w:val="0"/>
          <w:numId w:val="2"/>
        </w:numPr>
        <w:spacing w:after="60" w:before="60"/>
      </w:pPr>
      <w:r>
        <w:rPr>
          <w:rFonts w:ascii="Arial" w:cs="Arial" w:eastAsia="Arial" w:hAnsi="Arial"/>
          <w:color w:val="1A1A2E"/>
          <w:sz w:val="22"/>
          <w:szCs w:val="22"/>
        </w:rPr>
        <w:t xml:space="preserve">Cost breakdown — USDC vs MITH spend over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D4AA"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4F3FF" w:val="clear"/>
            <w:tcMar>
              <w:top w:type="dxa" w:w="140"/>
              <w:left w:type="dxa" w:w="200"/>
              <w:bottom w:type="dxa" w:w="140"/>
              <w:right w:type="dxa" w:w="200"/>
            </w:tcMar>
          </w:tcPr>
          <w:p>
            <w:r>
              <w:rPr>
                <w:rFonts w:ascii="Arial" w:cs="Arial" w:eastAsia="Arial" w:hAnsi="Arial"/>
                <w:b/>
                <w:bCs/>
                <w:color w:val="00D4AA"/>
                <w:sz w:val="20"/>
                <w:szCs w:val="20"/>
              </w:rPr>
              <w:t xml:space="preserve">Dashboard as Credibility Signal</w:t>
            </w:r>
          </w:p>
          <w:p>
            <w:pPr>
              <w:spacing w:before="60"/>
            </w:pPr>
            <w:r>
              <w:rPr>
                <w:rFonts w:ascii="Arial" w:cs="Arial" w:eastAsia="Arial" w:hAnsi="Arial"/>
                <w:color w:val="1A1A2E"/>
                <w:sz w:val="20"/>
                <w:szCs w:val="20"/>
              </w:rPr>
              <w:t xml:space="preserve">The live provider health panel showing real DePIN jobs routing in real time is the product's most important marketing asset. It is publicly accessible (read-only) — anyone can watch LMX Cloud routing inference across DePIN compute without signing up. This is the demo that recruits developers.</w:t>
            </w:r>
          </w:p>
        </w:tc>
      </w:tr>
    </w:tbl>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9.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API Server</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Node.js + TypeScript + Fastify</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Performance-first, schema validation built in</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Provider Adapters</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TypeScript modules</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One per provider, unified interface</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Health Monitor</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Node.js cron + Redis</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30s polling, status cached in Redis</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Database</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PostgreSQL (Supabase)</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Request logs, user accounts, credit balances</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Smart Contract</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Solidity + Hardhat</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EVM-compatible, deploy to Base Sepolia testnet</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Dashboard</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Next.js + Tailwind</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Server-side rendered, real-time via WebSocket</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Auth</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JWT + wallet signature</w:t>
            </w:r>
          </w:p>
        </w:tc>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Supports both wallet-native and email auth</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Deployment</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Railway or Render</w:t>
            </w:r>
          </w:p>
        </w:tc>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Fast deploy, no infra overhead for MVP</w:t>
            </w:r>
          </w:p>
        </w:tc>
      </w:tr>
    </w:tbl>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10. MVP Build Plan</w:t>
      </w:r>
    </w:p>
    <w:p>
      <w:pPr>
        <w:pStyle w:val="Heading3"/>
        <w:spacing w:after="80" w:before="240"/>
      </w:pPr>
      <w:r>
        <w:rPr>
          <w:rFonts w:ascii="Arial" w:cs="Arial" w:eastAsia="Arial" w:hAnsi="Arial"/>
          <w:b/>
          <w:bCs/>
          <w:color w:val="6C63FF"/>
          <w:sz w:val="22"/>
          <w:szCs w:val="22"/>
        </w:rPr>
        <w:t xml:space="preserve">Week 1 — Core Router</w:t>
      </w:r>
    </w:p>
    <w:p>
      <w:pPr>
        <w:pStyle w:val="ListParagraph"/>
        <w:numPr>
          <w:ilvl w:val="0"/>
          <w:numId w:val="2"/>
        </w:numPr>
        <w:spacing w:after="60" w:before="60"/>
      </w:pPr>
      <w:r>
        <w:rPr>
          <w:rFonts w:ascii="Arial" w:cs="Arial" w:eastAsia="Arial" w:hAnsi="Arial"/>
          <w:color w:val="1A1A2E"/>
          <w:sz w:val="22"/>
          <w:szCs w:val="22"/>
        </w:rPr>
        <w:t xml:space="preserve">Scaffold Fastify server with TypeScript</w:t>
      </w:r>
    </w:p>
    <w:p>
      <w:pPr>
        <w:pStyle w:val="ListParagraph"/>
        <w:numPr>
          <w:ilvl w:val="0"/>
          <w:numId w:val="2"/>
        </w:numPr>
        <w:spacing w:after="60" w:before="60"/>
      </w:pPr>
      <w:r>
        <w:rPr>
          <w:rFonts w:ascii="Arial" w:cs="Arial" w:eastAsia="Arial" w:hAnsi="Arial"/>
          <w:color w:val="1A1A2E"/>
          <w:sz w:val="22"/>
          <w:szCs w:val="22"/>
        </w:rPr>
        <w:t xml:space="preserve">Build io.net provider adapter — first working inference call</w:t>
      </w:r>
    </w:p>
    <w:p>
      <w:pPr>
        <w:pStyle w:val="ListParagraph"/>
        <w:numPr>
          <w:ilvl w:val="0"/>
          <w:numId w:val="2"/>
        </w:numPr>
        <w:spacing w:after="60" w:before="60"/>
      </w:pPr>
      <w:r>
        <w:rPr>
          <w:rFonts w:ascii="Arial" w:cs="Arial" w:eastAsia="Arial" w:hAnsi="Arial"/>
          <w:color w:val="1A1A2E"/>
          <w:sz w:val="22"/>
          <w:szCs w:val="22"/>
        </w:rPr>
        <w:t xml:space="preserve">Implement OpenAI-compatible /v1/chat/completions endpoint</w:t>
      </w:r>
    </w:p>
    <w:p>
      <w:pPr>
        <w:pStyle w:val="ListParagraph"/>
        <w:numPr>
          <w:ilvl w:val="0"/>
          <w:numId w:val="2"/>
        </w:numPr>
        <w:spacing w:after="60" w:before="60"/>
      </w:pPr>
      <w:r>
        <w:rPr>
          <w:rFonts w:ascii="Arial" w:cs="Arial" w:eastAsia="Arial" w:hAnsi="Arial"/>
          <w:color w:val="1A1A2E"/>
          <w:sz w:val="22"/>
          <w:szCs w:val="22"/>
        </w:rPr>
        <w:t xml:space="preserve">Basic JWT auth — API key generation and validation</w:t>
      </w:r>
    </w:p>
    <w:p>
      <w:pPr>
        <w:spacing w:after="0" w:before="120"/>
      </w:pPr>
      <w:r>
        <w:t xml:space="preserve"/>
      </w:r>
    </w:p>
    <w:p>
      <w:pPr>
        <w:pStyle w:val="Heading3"/>
        <w:spacing w:after="80" w:before="240"/>
      </w:pPr>
      <w:r>
        <w:rPr>
          <w:rFonts w:ascii="Arial" w:cs="Arial" w:eastAsia="Arial" w:hAnsi="Arial"/>
          <w:b/>
          <w:bCs/>
          <w:color w:val="6C63FF"/>
          <w:sz w:val="22"/>
          <w:szCs w:val="22"/>
        </w:rPr>
        <w:t xml:space="preserve">Week 2 — Multi-Provider &amp; Fallback</w:t>
      </w:r>
    </w:p>
    <w:p>
      <w:pPr>
        <w:pStyle w:val="ListParagraph"/>
        <w:numPr>
          <w:ilvl w:val="0"/>
          <w:numId w:val="2"/>
        </w:numPr>
        <w:spacing w:after="60" w:before="60"/>
      </w:pPr>
      <w:r>
        <w:rPr>
          <w:rFonts w:ascii="Arial" w:cs="Arial" w:eastAsia="Arial" w:hAnsi="Arial"/>
          <w:color w:val="1A1A2E"/>
          <w:sz w:val="22"/>
          <w:szCs w:val="22"/>
        </w:rPr>
        <w:t xml:space="preserve">Build Akash provider adapter</w:t>
      </w:r>
    </w:p>
    <w:p>
      <w:pPr>
        <w:pStyle w:val="ListParagraph"/>
        <w:numPr>
          <w:ilvl w:val="0"/>
          <w:numId w:val="2"/>
        </w:numPr>
        <w:spacing w:after="60" w:before="60"/>
      </w:pPr>
      <w:r>
        <w:rPr>
          <w:rFonts w:ascii="Arial" w:cs="Arial" w:eastAsia="Arial" w:hAnsi="Arial"/>
          <w:color w:val="1A1A2E"/>
          <w:sz w:val="22"/>
          <w:szCs w:val="22"/>
        </w:rPr>
        <w:t xml:space="preserve">Build Together.ai adapter (Tier 4 last resort)</w:t>
      </w:r>
    </w:p>
    <w:p>
      <w:pPr>
        <w:pStyle w:val="ListParagraph"/>
        <w:numPr>
          <w:ilvl w:val="0"/>
          <w:numId w:val="2"/>
        </w:numPr>
        <w:spacing w:after="60" w:before="60"/>
      </w:pPr>
      <w:r>
        <w:rPr>
          <w:rFonts w:ascii="Arial" w:cs="Arial" w:eastAsia="Arial" w:hAnsi="Arial"/>
          <w:color w:val="1A1A2E"/>
          <w:sz w:val="22"/>
          <w:szCs w:val="22"/>
        </w:rPr>
        <w:t xml:space="preserve">Implement health monitor — 30s polling, Redis status cache</w:t>
      </w:r>
    </w:p>
    <w:p>
      <w:pPr>
        <w:pStyle w:val="ListParagraph"/>
        <w:numPr>
          <w:ilvl w:val="0"/>
          <w:numId w:val="2"/>
        </w:numPr>
        <w:spacing w:after="60" w:before="60"/>
      </w:pPr>
      <w:r>
        <w:rPr>
          <w:rFonts w:ascii="Arial" w:cs="Arial" w:eastAsia="Arial" w:hAnsi="Arial"/>
          <w:color w:val="1A1A2E"/>
          <w:sz w:val="22"/>
          <w:szCs w:val="22"/>
        </w:rPr>
        <w:t xml:space="preserve">Implement routing engine — cheapest / fastest / depin-only strategies</w:t>
      </w:r>
    </w:p>
    <w:p>
      <w:pPr>
        <w:pStyle w:val="ListParagraph"/>
        <w:numPr>
          <w:ilvl w:val="0"/>
          <w:numId w:val="2"/>
        </w:numPr>
        <w:spacing w:after="60" w:before="60"/>
      </w:pPr>
      <w:r>
        <w:rPr>
          <w:rFonts w:ascii="Arial" w:cs="Arial" w:eastAsia="Arial" w:hAnsi="Arial"/>
          <w:color w:val="1A1A2E"/>
          <w:sz w:val="22"/>
          <w:szCs w:val="22"/>
        </w:rPr>
        <w:t xml:space="preserve">Implement fallback manager with ordered chain</w:t>
      </w:r>
    </w:p>
    <w:p>
      <w:pPr>
        <w:spacing w:after="0" w:before="120"/>
      </w:pPr>
      <w:r>
        <w:t xml:space="preserve"/>
      </w:r>
    </w:p>
    <w:p>
      <w:pPr>
        <w:pStyle w:val="Heading3"/>
        <w:spacing w:after="80" w:before="240"/>
      </w:pPr>
      <w:r>
        <w:rPr>
          <w:rFonts w:ascii="Arial" w:cs="Arial" w:eastAsia="Arial" w:hAnsi="Arial"/>
          <w:b/>
          <w:bCs/>
          <w:color w:val="6C63FF"/>
          <w:sz w:val="22"/>
          <w:szCs w:val="22"/>
        </w:rPr>
        <w:t xml:space="preserve">Week 3 — Payment Layer</w:t>
      </w:r>
    </w:p>
    <w:p>
      <w:pPr>
        <w:pStyle w:val="ListParagraph"/>
        <w:numPr>
          <w:ilvl w:val="0"/>
          <w:numId w:val="2"/>
        </w:numPr>
        <w:spacing w:after="60" w:before="60"/>
      </w:pPr>
      <w:r>
        <w:rPr>
          <w:rFonts w:ascii="Arial" w:cs="Arial" w:eastAsia="Arial" w:hAnsi="Arial"/>
          <w:color w:val="1A1A2E"/>
          <w:sz w:val="22"/>
          <w:szCs w:val="22"/>
        </w:rPr>
        <w:t xml:space="preserve">Deploy credit smart contract to Base Sepolia testnet</w:t>
      </w:r>
    </w:p>
    <w:p>
      <w:pPr>
        <w:pStyle w:val="ListParagraph"/>
        <w:numPr>
          <w:ilvl w:val="0"/>
          <w:numId w:val="2"/>
        </w:numPr>
        <w:spacing w:after="60" w:before="60"/>
      </w:pPr>
      <w:r>
        <w:rPr>
          <w:rFonts w:ascii="Arial" w:cs="Arial" w:eastAsia="Arial" w:hAnsi="Arial"/>
          <w:color w:val="1A1A2E"/>
          <w:sz w:val="22"/>
          <w:szCs w:val="22"/>
        </w:rPr>
        <w:t xml:space="preserve">USDC deposit flow — wallet connect + on-chain deposit</w:t>
      </w:r>
    </w:p>
    <w:p>
      <w:pPr>
        <w:pStyle w:val="ListParagraph"/>
        <w:numPr>
          <w:ilvl w:val="0"/>
          <w:numId w:val="2"/>
        </w:numPr>
        <w:spacing w:after="60" w:before="60"/>
      </w:pPr>
      <w:r>
        <w:rPr>
          <w:rFonts w:ascii="Arial" w:cs="Arial" w:eastAsia="Arial" w:hAnsi="Arial"/>
          <w:color w:val="1A1A2E"/>
          <w:sz w:val="22"/>
          <w:szCs w:val="22"/>
        </w:rPr>
        <w:t xml:space="preserve">MITH testnet token acceptance</w:t>
      </w:r>
    </w:p>
    <w:p>
      <w:pPr>
        <w:pStyle w:val="ListParagraph"/>
        <w:numPr>
          <w:ilvl w:val="0"/>
          <w:numId w:val="2"/>
        </w:numPr>
        <w:spacing w:after="60" w:before="60"/>
      </w:pPr>
      <w:r>
        <w:rPr>
          <w:rFonts w:ascii="Arial" w:cs="Arial" w:eastAsia="Arial" w:hAnsi="Arial"/>
          <w:color w:val="1A1A2E"/>
          <w:sz w:val="22"/>
          <w:szCs w:val="22"/>
        </w:rPr>
        <w:t xml:space="preserve">Per-request credit deduction and balance enforcement</w:t>
      </w:r>
    </w:p>
    <w:p>
      <w:pPr>
        <w:spacing w:after="0" w:before="120"/>
      </w:pPr>
      <w:r>
        <w:t xml:space="preserve"/>
      </w:r>
    </w:p>
    <w:p>
      <w:pPr>
        <w:pStyle w:val="Heading3"/>
        <w:spacing w:after="80" w:before="240"/>
      </w:pPr>
      <w:r>
        <w:rPr>
          <w:rFonts w:ascii="Arial" w:cs="Arial" w:eastAsia="Arial" w:hAnsi="Arial"/>
          <w:b/>
          <w:bCs/>
          <w:color w:val="6C63FF"/>
          <w:sz w:val="22"/>
          <w:szCs w:val="22"/>
        </w:rPr>
        <w:t xml:space="preserve">Week 4 — Dashboard &amp; DX</w:t>
      </w:r>
    </w:p>
    <w:p>
      <w:pPr>
        <w:pStyle w:val="ListParagraph"/>
        <w:numPr>
          <w:ilvl w:val="0"/>
          <w:numId w:val="2"/>
        </w:numPr>
        <w:spacing w:after="60" w:before="60"/>
      </w:pPr>
      <w:r>
        <w:rPr>
          <w:rFonts w:ascii="Arial" w:cs="Arial" w:eastAsia="Arial" w:hAnsi="Arial"/>
          <w:color w:val="1A1A2E"/>
          <w:sz w:val="22"/>
          <w:szCs w:val="22"/>
        </w:rPr>
        <w:t xml:space="preserve">Next.js dashboard — live request feed, provider health, usage stats</w:t>
      </w:r>
    </w:p>
    <w:p>
      <w:pPr>
        <w:pStyle w:val="ListParagraph"/>
        <w:numPr>
          <w:ilvl w:val="0"/>
          <w:numId w:val="2"/>
        </w:numPr>
        <w:spacing w:after="60" w:before="60"/>
      </w:pPr>
      <w:r>
        <w:rPr>
          <w:rFonts w:ascii="Arial" w:cs="Arial" w:eastAsia="Arial" w:hAnsi="Arial"/>
          <w:color w:val="1A1A2E"/>
          <w:sz w:val="22"/>
          <w:szCs w:val="22"/>
        </w:rPr>
        <w:t xml:space="preserve">Public health panel (no login required)</w:t>
      </w:r>
    </w:p>
    <w:p>
      <w:pPr>
        <w:pStyle w:val="ListParagraph"/>
        <w:numPr>
          <w:ilvl w:val="0"/>
          <w:numId w:val="2"/>
        </w:numPr>
        <w:spacing w:after="60" w:before="60"/>
      </w:pPr>
      <w:r>
        <w:rPr>
          <w:rFonts w:ascii="Arial" w:cs="Arial" w:eastAsia="Arial" w:hAnsi="Arial"/>
          <w:color w:val="1A1A2E"/>
          <w:sz w:val="22"/>
          <w:szCs w:val="22"/>
        </w:rPr>
        <w:t xml:space="preserve">Python SDK and cURL documentation</w:t>
      </w:r>
    </w:p>
    <w:p>
      <w:pPr>
        <w:pStyle w:val="ListParagraph"/>
        <w:numPr>
          <w:ilvl w:val="0"/>
          <w:numId w:val="2"/>
        </w:numPr>
        <w:spacing w:after="60" w:before="60"/>
      </w:pPr>
      <w:r>
        <w:rPr>
          <w:rFonts w:ascii="Arial" w:cs="Arial" w:eastAsia="Arial" w:hAnsi="Arial"/>
          <w:color w:val="1A1A2E"/>
          <w:sz w:val="22"/>
          <w:szCs w:val="22"/>
        </w:rPr>
        <w:t xml:space="preserve">/v1/models and /v1/status endpoints</w:t>
      </w:r>
    </w:p>
    <w:p>
      <w:pPr>
        <w:pStyle w:val="ListParagraph"/>
        <w:numPr>
          <w:ilvl w:val="0"/>
          <w:numId w:val="2"/>
        </w:numPr>
        <w:spacing w:after="60" w:before="60"/>
      </w:pPr>
      <w:r>
        <w:rPr>
          <w:rFonts w:ascii="Arial" w:cs="Arial" w:eastAsia="Arial" w:hAnsi="Arial"/>
          <w:color w:val="1A1A2E"/>
          <w:sz w:val="22"/>
          <w:szCs w:val="22"/>
        </w:rPr>
        <w:t xml:space="preserve">Onboarding flow — key generation under 60 seconds</w:t>
      </w:r>
    </w:p>
    <w:p>
      <w:pPr>
        <w:spacing w:after="0" w:before="120"/>
      </w:pPr>
      <w:r>
        <w:t xml:space="preserve"/>
      </w:r>
    </w:p>
    <w:p>
      <w:pPr>
        <w:pStyle w:val="Heading3"/>
        <w:spacing w:after="80" w:before="240"/>
      </w:pPr>
      <w:r>
        <w:rPr>
          <w:rFonts w:ascii="Arial" w:cs="Arial" w:eastAsia="Arial" w:hAnsi="Arial"/>
          <w:b/>
          <w:bCs/>
          <w:color w:val="6C63FF"/>
          <w:sz w:val="22"/>
          <w:szCs w:val="22"/>
        </w:rPr>
        <w:t xml:space="preserve">Weeks 5–6 — Beta &amp; Iteration</w:t>
      </w:r>
    </w:p>
    <w:p>
      <w:pPr>
        <w:pStyle w:val="ListParagraph"/>
        <w:numPr>
          <w:ilvl w:val="0"/>
          <w:numId w:val="2"/>
        </w:numPr>
        <w:spacing w:after="60" w:before="60"/>
      </w:pPr>
      <w:r>
        <w:rPr>
          <w:rFonts w:ascii="Arial" w:cs="Arial" w:eastAsia="Arial" w:hAnsi="Arial"/>
          <w:color w:val="1A1A2E"/>
          <w:sz w:val="22"/>
          <w:szCs w:val="22"/>
        </w:rPr>
        <w:t xml:space="preserve">Recruit 10 beta users from io.net and Akash discords</w:t>
      </w:r>
    </w:p>
    <w:p>
      <w:pPr>
        <w:pStyle w:val="ListParagraph"/>
        <w:numPr>
          <w:ilvl w:val="0"/>
          <w:numId w:val="2"/>
        </w:numPr>
        <w:spacing w:after="60" w:before="60"/>
      </w:pPr>
      <w:r>
        <w:rPr>
          <w:rFonts w:ascii="Arial" w:cs="Arial" w:eastAsia="Arial" w:hAnsi="Arial"/>
          <w:color w:val="1A1A2E"/>
          <w:sz w:val="22"/>
          <w:szCs w:val="22"/>
        </w:rPr>
        <w:t xml:space="preserve">Free tier: 100K tokens per key, no credit card</w:t>
      </w:r>
    </w:p>
    <w:p>
      <w:pPr>
        <w:pStyle w:val="ListParagraph"/>
        <w:numPr>
          <w:ilvl w:val="0"/>
          <w:numId w:val="2"/>
        </w:numPr>
        <w:spacing w:after="60" w:before="60"/>
      </w:pPr>
      <w:r>
        <w:rPr>
          <w:rFonts w:ascii="Arial" w:cs="Arial" w:eastAsia="Arial" w:hAnsi="Arial"/>
          <w:color w:val="1A1A2E"/>
          <w:sz w:val="22"/>
          <w:szCs w:val="22"/>
        </w:rPr>
        <w:t xml:space="preserve">Run 20-minute feedback calls — what breaks, what's missing</w:t>
      </w:r>
    </w:p>
    <w:p>
      <w:pPr>
        <w:pStyle w:val="ListParagraph"/>
        <w:numPr>
          <w:ilvl w:val="0"/>
          <w:numId w:val="2"/>
        </w:numPr>
        <w:spacing w:after="60" w:before="60"/>
      </w:pPr>
      <w:r>
        <w:rPr>
          <w:rFonts w:ascii="Arial" w:cs="Arial" w:eastAsia="Arial" w:hAnsi="Arial"/>
          <w:color w:val="1A1A2E"/>
          <w:sz w:val="22"/>
          <w:szCs w:val="22"/>
        </w:rPr>
        <w:t xml:space="preserve">Fix latency, reliability, and DX issues surfaced in beta</w:t>
      </w:r>
    </w:p>
    <w:p>
      <w:pPr>
        <w:pStyle w:val="ListParagraph"/>
        <w:numPr>
          <w:ilvl w:val="0"/>
          <w:numId w:val="2"/>
        </w:numPr>
        <w:spacing w:after="60" w:before="60"/>
      </w:pPr>
      <w:r>
        <w:rPr>
          <w:rFonts w:ascii="Arial" w:cs="Arial" w:eastAsia="Arial" w:hAnsi="Arial"/>
          <w:color w:val="1A1A2E"/>
          <w:sz w:val="22"/>
          <w:szCs w:val="22"/>
        </w:rPr>
        <w:t xml:space="preserve">Publish GitHub repo and first technical post</w:t>
      </w:r>
    </w:p>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11. MVP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6240"/>
            <w:tcBorders>
              <w:top w:val="single" w:color="E0DEFF" w:sz="1"/>
              <w:left w:val="single" w:color="E0DEFF" w:sz="1"/>
              <w:bottom w:val="single" w:color="E0DEFF" w:sz="1"/>
              <w:right w:val="single" w:color="E0DEFF"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Reliability</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95%+ successful request rate across DePIN providers combined</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Latency</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First token returned under 3 seconds for 90th percentile requests</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Onboarding</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First successful inference call in under 5 minutes from signup</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Beta Users</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 active developers within 6 weeks of launch</w:t>
            </w:r>
          </w:p>
        </w:tc>
      </w:tr>
      <w:tr>
        <w:tc>
          <w:tcPr>
            <w:tcW w:type="dxa" w:w="312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b/>
                <w:bCs/>
                <w:color w:val="6C63FF"/>
                <w:sz w:val="20"/>
                <w:szCs w:val="20"/>
              </w:rPr>
              <w:t xml:space="preserve">Retention</w:t>
            </w:r>
          </w:p>
        </w:tc>
        <w:tc>
          <w:tcPr>
            <w:tcW w:type="dxa" w:w="6240"/>
            <w:tcBorders>
              <w:top w:val="single" w:color="E0DEFF" w:sz="1"/>
              <w:left w:val="single" w:color="E0DEFF" w:sz="1"/>
              <w:bottom w:val="single" w:color="E0DEFF" w:sz="1"/>
              <w:right w:val="single" w:color="E0DEFF" w:sz="1"/>
            </w:tcBorders>
            <w:shd w:fill="F4F3FF" w:val="clear"/>
            <w:tcMar>
              <w:top w:type="dxa" w:w="100"/>
              <w:left w:type="dxa" w:w="160"/>
              <w:bottom w:type="dxa" w:w="100"/>
              <w:right w:type="dxa" w:w="160"/>
            </w:tcMar>
          </w:tcPr>
          <w:p>
            <w:r>
              <w:rPr>
                <w:rFonts w:ascii="Arial" w:cs="Arial" w:eastAsia="Arial" w:hAnsi="Arial"/>
                <w:color w:val="1A1A2E"/>
                <w:sz w:val="20"/>
                <w:szCs w:val="20"/>
              </w:rPr>
              <w:t xml:space="preserve">At least 5 of 10 beta users make a second request within 7 days</w:t>
            </w:r>
          </w:p>
        </w:tc>
      </w:tr>
      <w:tr>
        <w:tc>
          <w:tcPr>
            <w:tcW w:type="dxa" w:w="312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b/>
                <w:bCs/>
                <w:color w:val="6C63FF"/>
                <w:sz w:val="20"/>
                <w:szCs w:val="20"/>
              </w:rPr>
              <w:t xml:space="preserve">Fallback Rate</w:t>
            </w:r>
          </w:p>
        </w:tc>
        <w:tc>
          <w:tcPr>
            <w:tcW w:type="dxa" w:w="6240"/>
            <w:tcBorders>
              <w:top w:val="single" w:color="E0DEFF" w:sz="1"/>
              <w:left w:val="single" w:color="E0DEFF" w:sz="1"/>
              <w:bottom w:val="single" w:color="E0DEFF" w:sz="1"/>
              <w:right w:val="single" w:color="E0DEFF"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Tier 4 (centralized) fallback triggered on less than 10% of requests</w:t>
            </w:r>
          </w:p>
        </w:tc>
      </w:tr>
    </w:tbl>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12. Out of Scope — MVP</w:t>
      </w:r>
    </w:p>
    <w:p>
      <w:pPr>
        <w:spacing w:after="120" w:before="80"/>
      </w:pPr>
      <w:r>
        <w:rPr>
          <w:rFonts w:ascii="Arial" w:cs="Arial" w:eastAsia="Arial" w:hAnsi="Arial"/>
          <w:color w:val="1A1A2E"/>
          <w:sz w:val="22"/>
          <w:szCs w:val="22"/>
        </w:rPr>
        <w:t xml:space="preserve">The following are explicitly deferred to post-MVP to maintain build velocity:</w:t>
      </w:r>
    </w:p>
    <w:p>
      <w:pPr>
        <w:pStyle w:val="ListParagraph"/>
        <w:numPr>
          <w:ilvl w:val="0"/>
          <w:numId w:val="2"/>
        </w:numPr>
        <w:spacing w:after="60" w:before="60"/>
      </w:pPr>
      <w:r>
        <w:rPr>
          <w:rFonts w:ascii="Arial" w:cs="Arial" w:eastAsia="Arial" w:hAnsi="Arial"/>
          <w:color w:val="1A1A2E"/>
          <w:sz w:val="22"/>
          <w:szCs w:val="22"/>
        </w:rPr>
        <w:t xml:space="preserve">Streaming responses (SSE) — important but adds complexity; v1.1</w:t>
      </w:r>
    </w:p>
    <w:p>
      <w:pPr>
        <w:pStyle w:val="ListParagraph"/>
        <w:numPr>
          <w:ilvl w:val="0"/>
          <w:numId w:val="2"/>
        </w:numPr>
        <w:spacing w:after="60" w:before="60"/>
      </w:pPr>
      <w:r>
        <w:rPr>
          <w:rFonts w:ascii="Arial" w:cs="Arial" w:eastAsia="Arial" w:hAnsi="Arial"/>
          <w:color w:val="1A1A2E"/>
          <w:sz w:val="22"/>
          <w:szCs w:val="22"/>
        </w:rPr>
        <w:t xml:space="preserve">Fine-tuned model support — open-source base models only for MVP</w:t>
      </w:r>
    </w:p>
    <w:p>
      <w:pPr>
        <w:pStyle w:val="ListParagraph"/>
        <w:numPr>
          <w:ilvl w:val="0"/>
          <w:numId w:val="2"/>
        </w:numPr>
        <w:spacing w:after="60" w:before="60"/>
      </w:pPr>
      <w:r>
        <w:rPr>
          <w:rFonts w:ascii="Arial" w:cs="Arial" w:eastAsia="Arial" w:hAnsi="Arial"/>
          <w:color w:val="1A1A2E"/>
          <w:sz w:val="22"/>
          <w:szCs w:val="22"/>
        </w:rPr>
        <w:t xml:space="preserve">SLA guarantees or uptime commitments — beta product, no promises</w:t>
      </w:r>
    </w:p>
    <w:p>
      <w:pPr>
        <w:pStyle w:val="ListParagraph"/>
        <w:numPr>
          <w:ilvl w:val="0"/>
          <w:numId w:val="2"/>
        </w:numPr>
        <w:spacing w:after="60" w:before="60"/>
      </w:pPr>
      <w:r>
        <w:rPr>
          <w:rFonts w:ascii="Arial" w:cs="Arial" w:eastAsia="Arial" w:hAnsi="Arial"/>
          <w:color w:val="1A1A2E"/>
          <w:sz w:val="22"/>
          <w:szCs w:val="22"/>
        </w:rPr>
        <w:t xml:space="preserve">LMX Networking node integration — when nodes are live</w:t>
      </w:r>
    </w:p>
    <w:p>
      <w:pPr>
        <w:pStyle w:val="ListParagraph"/>
        <w:numPr>
          <w:ilvl w:val="0"/>
          <w:numId w:val="2"/>
        </w:numPr>
        <w:spacing w:after="60" w:before="60"/>
      </w:pPr>
      <w:r>
        <w:rPr>
          <w:rFonts w:ascii="Arial" w:cs="Arial" w:eastAsia="Arial" w:hAnsi="Arial"/>
          <w:color w:val="1A1A2E"/>
          <w:sz w:val="22"/>
          <w:szCs w:val="22"/>
        </w:rPr>
        <w:t xml:space="preserve">Mithril mainnet settlement — testnet only for MVP</w:t>
      </w:r>
    </w:p>
    <w:p>
      <w:pPr>
        <w:pStyle w:val="ListParagraph"/>
        <w:numPr>
          <w:ilvl w:val="0"/>
          <w:numId w:val="2"/>
        </w:numPr>
        <w:spacing w:after="60" w:before="60"/>
      </w:pPr>
      <w:r>
        <w:rPr>
          <w:rFonts w:ascii="Arial" w:cs="Arial" w:eastAsia="Arial" w:hAnsi="Arial"/>
          <w:color w:val="1A1A2E"/>
          <w:sz w:val="22"/>
          <w:szCs w:val="22"/>
        </w:rPr>
        <w:t xml:space="preserve">Enterprise contracts or compliance certifications — post-traction</w:t>
      </w:r>
    </w:p>
    <w:p>
      <w:pPr>
        <w:pStyle w:val="ListParagraph"/>
        <w:numPr>
          <w:ilvl w:val="0"/>
          <w:numId w:val="2"/>
        </w:numPr>
        <w:spacing w:after="60" w:before="60"/>
      </w:pPr>
      <w:r>
        <w:rPr>
          <w:rFonts w:ascii="Arial" w:cs="Arial" w:eastAsia="Arial" w:hAnsi="Arial"/>
          <w:color w:val="1A1A2E"/>
          <w:sz w:val="22"/>
          <w:szCs w:val="22"/>
        </w:rPr>
        <w:t xml:space="preserve">Mobile SDK — web and server-side first</w:t>
      </w:r>
    </w:p>
    <w:p>
      <w:pPr>
        <w:spacing w:after="0" w:before="240"/>
      </w:pPr>
      <w:r>
        <w:t xml:space="preserve"/>
      </w:r>
    </w:p>
    <w:p>
      <w:pPr>
        <w:pStyle w:val="Heading2"/>
        <w:pBdr>
          <w:bottom w:val="single" w:color="6C63FF" w:sz="4" w:space="4"/>
        </w:pBdr>
        <w:spacing w:after="120" w:before="320"/>
      </w:pPr>
      <w:r>
        <w:rPr>
          <w:rFonts w:ascii="Arial" w:cs="Arial" w:eastAsia="Arial" w:hAnsi="Arial"/>
          <w:b/>
          <w:bCs/>
          <w:color w:val="1A1A2E"/>
          <w:sz w:val="26"/>
          <w:szCs w:val="26"/>
        </w:rPr>
        <w:t xml:space="preserve">13. Strategic Context</w:t>
      </w:r>
    </w:p>
    <w:p>
      <w:pPr>
        <w:spacing w:after="120" w:before="80"/>
      </w:pPr>
      <w:r>
        <w:rPr>
          <w:rFonts w:ascii="Arial" w:cs="Arial" w:eastAsia="Arial" w:hAnsi="Arial"/>
          <w:color w:val="1A1A2E"/>
          <w:sz w:val="22"/>
          <w:szCs w:val="22"/>
        </w:rPr>
        <w:t xml:space="preserve">This MVP is the first deployable component of LMX Cloud, which is itself the demand-side infrastructure for LMX Networking's DePIN compute nodes. The build sequence is intentional: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C63FF"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4F3FF" w:val="clear"/>
            <w:tcMar>
              <w:top w:type="dxa" w:w="140"/>
              <w:left w:type="dxa" w:w="200"/>
              <w:bottom w:type="dxa" w:w="140"/>
              <w:right w:type="dxa" w:w="200"/>
            </w:tcMar>
          </w:tcPr>
          <w:p>
            <w:r>
              <w:rPr>
                <w:rFonts w:ascii="Arial" w:cs="Arial" w:eastAsia="Arial" w:hAnsi="Arial"/>
                <w:b/>
                <w:bCs/>
                <w:color w:val="6C63FF"/>
                <w:sz w:val="20"/>
                <w:szCs w:val="20"/>
              </w:rPr>
              <w:t xml:space="preserve">Step 1 — This MVP</w:t>
            </w:r>
          </w:p>
          <w:p>
            <w:pPr>
              <w:spacing w:before="60"/>
            </w:pPr>
            <w:r>
              <w:rPr>
                <w:rFonts w:ascii="Arial" w:cs="Arial" w:eastAsia="Arial" w:hAnsi="Arial"/>
                <w:color w:val="1A1A2E"/>
                <w:sz w:val="20"/>
                <w:szCs w:val="20"/>
              </w:rPr>
              <w:t xml:space="preserve">Prove developer demand for DePIN inference routing. Get real users, real requests, real signal.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D4AA"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4F3FF" w:val="clear"/>
            <w:tcMar>
              <w:top w:type="dxa" w:w="140"/>
              <w:left w:type="dxa" w:w="200"/>
              <w:bottom w:type="dxa" w:w="140"/>
              <w:right w:type="dxa" w:w="200"/>
            </w:tcMar>
          </w:tcPr>
          <w:p>
            <w:r>
              <w:rPr>
                <w:rFonts w:ascii="Arial" w:cs="Arial" w:eastAsia="Arial" w:hAnsi="Arial"/>
                <w:b/>
                <w:bCs/>
                <w:color w:val="00D4AA"/>
                <w:sz w:val="20"/>
                <w:szCs w:val="20"/>
              </w:rPr>
              <w:t xml:space="preserve">Step 2 — LMX Networking Nodes</w:t>
            </w:r>
          </w:p>
          <w:p>
            <w:pPr>
              <w:spacing w:before="60"/>
            </w:pPr>
            <w:r>
              <w:rPr>
                <w:rFonts w:ascii="Arial" w:cs="Arial" w:eastAsia="Arial" w:hAnsi="Arial"/>
                <w:color w:val="1A1A2E"/>
                <w:sz w:val="20"/>
                <w:szCs w:val="20"/>
              </w:rPr>
              <w:t xml:space="preserve">Deploy operator-run compute nodes. Insert as Tier 1 in the routing chain. The router already exists.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C63FF"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4F3FF" w:val="clear"/>
            <w:tcMar>
              <w:top w:type="dxa" w:w="140"/>
              <w:left w:type="dxa" w:w="200"/>
              <w:bottom w:type="dxa" w:w="140"/>
              <w:right w:type="dxa" w:w="200"/>
            </w:tcMar>
          </w:tcPr>
          <w:p>
            <w:r>
              <w:rPr>
                <w:rFonts w:ascii="Arial" w:cs="Arial" w:eastAsia="Arial" w:hAnsi="Arial"/>
                <w:b/>
                <w:bCs/>
                <w:color w:val="6C63FF"/>
                <w:sz w:val="20"/>
                <w:szCs w:val="20"/>
              </w:rPr>
              <w:t xml:space="preserve">Step 3 — Mithril Settlement</w:t>
            </w:r>
          </w:p>
          <w:p>
            <w:pPr>
              <w:spacing w:before="60"/>
            </w:pPr>
            <w:r>
              <w:rPr>
                <w:rFonts w:ascii="Arial" w:cs="Arial" w:eastAsia="Arial" w:hAnsi="Arial"/>
                <w:color w:val="1A1A2E"/>
                <w:sz w:val="20"/>
                <w:szCs w:val="20"/>
              </w:rPr>
              <w:t xml:space="preserve">Move payment settlement on-chain to Mithril mainnet. MITH becomes the native payment token for all inference.</w:t>
            </w:r>
          </w:p>
        </w:tc>
      </w:tr>
    </w:tbl>
    <w:p>
      <w:pPr>
        <w:spacing w:after="0" w:before="160"/>
      </w:pPr>
      <w:r>
        <w:t xml:space="preserve"/>
      </w:r>
    </w:p>
    <w:p>
      <w:pPr>
        <w:spacing w:after="120" w:before="80"/>
      </w:pPr>
      <w:r>
        <w:rPr>
          <w:rFonts w:ascii="Arial" w:cs="Arial" w:eastAsia="Arial" w:hAnsi="Arial"/>
          <w:color w:val="1A1A2E"/>
          <w:sz w:val="22"/>
          <w:szCs w:val="22"/>
        </w:rPr>
        <w:t xml:space="preserve">The router is not a side project. It is the critical path to LMX Cloud and the proof of concept that makes LMX Networking node economics credible to operators before the nodes exist.</w:t>
      </w:r>
    </w:p>
    <w:p>
      <w:pPr>
        <w:spacing w:after="0" w:before="400"/>
      </w:pPr>
      <w:r>
        <w:t xml:space="preserve"/>
      </w:r>
    </w:p>
    <w:p>
      <w:pPr>
        <w:jc w:val="center"/>
      </w:pPr>
      <w:r>
        <w:rPr>
          <w:rFonts w:ascii="Arial" w:cs="Arial" w:eastAsia="Arial" w:hAnsi="Arial"/>
          <w:color w:val="666666"/>
          <w:sz w:val="18"/>
          <w:szCs w:val="18"/>
        </w:rPr>
        <w:t xml:space="preserve">LMX Cloud MVP Specification  ·  LMX Ecosystem  ·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LMX Cloud — DePIN Inference Router MVP Spec  |  Confidential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6C63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2026-06-22T20:24:17.888Z</dcterms:created>
  <dcterms:modified xsi:type="dcterms:W3CDTF">2026-06-22T20:24:17.888Z</dcterms:modified>
</cp:coreProperties>
</file>

<file path=docProps/custom.xml><?xml version="1.0" encoding="utf-8"?>
<Properties xmlns="http://schemas.openxmlformats.org/officeDocument/2006/custom-properties" xmlns:vt="http://schemas.openxmlformats.org/officeDocument/2006/docPropsVTypes"/>
</file>