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5B6BFF"/>
          <w:sz w:val="44"/>
          <w:szCs w:val="44"/>
        </w:rPr>
        <w:t xml:space="preserve">LMX CLOUD</w:t>
      </w:r>
    </w:p>
    <w:p>
      <w:pPr>
        <w:spacing w:after="260"/>
      </w:pPr>
      <w:r>
        <w:rPr>
          <w:rFonts w:ascii="Calibri" w:cs="Calibri" w:eastAsia="Calibri" w:hAnsi="Calibri"/>
          <w:i/>
          <w:iCs/>
          <w:color w:val="1A1A2E"/>
          <w:sz w:val="26"/>
          <w:szCs w:val="26"/>
        </w:rPr>
        <w:t xml:space="preserve">The Grid, Distribution, and the Compounding Moat</w:t>
      </w:r>
    </w:p>
    <w:p>
      <w:pPr>
        <w:pBdr>
          <w:bottom w:val="single" w:color="CCCCCC" w:sz="4" w:space="6"/>
        </w:pBdr>
        <w:spacing w:after="300"/>
      </w:pPr>
      <w:r>
        <w:rPr>
          <w:rFonts w:ascii="Calibri" w:cs="Calibri" w:eastAsia="Calibri" w:hAnsi="Calibri"/>
          <w:color w:val="555555"/>
          <w:sz w:val="18"/>
          <w:szCs w:val="18"/>
        </w:rPr>
        <w:t xml:space="preserve">Primer — July 2026</w:t>
      </w:r>
    </w:p>
    <w:p>
      <w:pPr>
        <w:spacing w:after="160" w:line="276"/>
      </w:pPr>
      <w:r>
        <w:rPr>
          <w:rFonts w:ascii="Calibri" w:cs="Calibri" w:eastAsia="Calibri" w:hAnsi="Calibri"/>
          <w:color w:val="1A1A2E"/>
          <w:sz w:val="22"/>
          <w:szCs w:val="22"/>
        </w:rPr>
        <w:t xml:space="preserve">LMX Cloud is built as two stacked product layers plus one layer that cuts across both. At the bottom sits LMX Grid: the resources and tools LMX actually operates, prices, and routes. On top of Grid sits Distribution: the channels through which autonomous agents discover Grid and call it. Threading through both, not stacked as a third layer, is the Trust layer — stablecoin settlement plus cryptographic proof of delivery — and that is where the durable advantage actually lives. Grid is the product. Distribution is what makes the product findable. Trust is what compounds over time into something a competitor can't just copy.</w:t>
      </w:r>
    </w:p>
    <w:tbl>
      <w:tblPr>
        <w:tblW w:type="dxa" w:w="9350"/>
        <w:tblBorders>
          <w:top w:val="none"/>
          <w:left w:val="none"/>
          <w:bottom w:val="none"/>
          <w:right w:val="none"/>
          <w:insideH w:val="none"/>
          <w:insideV w:val="none"/>
        </w:tblBorders>
      </w:tblPr>
      <w:tblGrid>
        <w:gridCol w:w="9350"/>
      </w:tblGrid>
      <w:tr>
        <w:tc>
          <w:tcPr>
            <w:tcW w:type="dxa" w:w="9350"/>
            <w:shd w:fill="5B6BFF" w:color="auto" w:val="clear"/>
            <w:tcMar>
              <w:top w:type="dxa" w:w="140"/>
              <w:left w:type="dxa" w:w="160"/>
              <w:bottom w:type="dxa" w:w="140"/>
              <w:right w:type="dxa" w:w="160"/>
            </w:tcMar>
            <w:vAlign w:val="center"/>
          </w:tcPr>
          <w:p>
            <w:pPr>
              <w:spacing w:after="0"/>
              <w:jc w:val="center"/>
            </w:pPr>
            <w:r>
              <w:rPr>
                <w:rFonts w:ascii="Calibri" w:cs="Calibri" w:eastAsia="Calibri" w:hAnsi="Calibri"/>
                <w:b/>
                <w:bCs/>
                <w:color w:val="FFFFFF"/>
                <w:sz w:val="20"/>
                <w:szCs w:val="20"/>
              </w:rPr>
              <w:t xml:space="preserve">DISTRIBUTION</w:t>
            </w:r>
          </w:p>
          <w:p>
            <w:pPr>
              <w:spacing w:after="0"/>
              <w:jc w:val="center"/>
            </w:pPr>
            <w:r>
              <w:rPr>
                <w:rFonts w:ascii="Calibri" w:cs="Calibri" w:eastAsia="Calibri" w:hAnsi="Calibri"/>
                <w:b w:val="false"/>
                <w:bCs w:val="false"/>
                <w:color w:val="E8E9FF"/>
                <w:sz w:val="17"/>
                <w:szCs w:val="17"/>
              </w:rPr>
              <w:t xml:space="preserve">x402 Bazaar / Agentic.Market  ·  MCP registry  ·  ElizaOS plugin  ·  LMX.Agent</w:t>
            </w:r>
          </w:p>
        </w:tc>
      </w:tr>
      <w:tr>
        <w:tc>
          <w:tcPr>
            <w:tcW w:type="dxa" w:w="9350"/>
            <w:tcMar>
              <w:top w:type="dxa" w:w="140"/>
              <w:left w:type="dxa" w:w="160"/>
              <w:bottom w:type="dxa" w:w="140"/>
              <w:right w:type="dxa" w:w="160"/>
            </w:tcMar>
            <w:vAlign w:val="center"/>
          </w:tcPr>
          <w:p>
            <w:pPr>
              <w:spacing w:after="0"/>
              <w:jc w:val="center"/>
            </w:pPr>
            <w:r>
              <w:rPr>
                <w:rFonts w:ascii="Calibri" w:cs="Calibri" w:eastAsia="Calibri" w:hAnsi="Calibri"/>
                <w:b w:val="false"/>
                <w:bCs w:val="false"/>
                <w:color w:val="555555"/>
                <w:sz w:val="15"/>
                <w:szCs w:val="15"/>
              </w:rPr>
              <w:t xml:space="preserve">↑  discovers and calls  ↑</w:t>
            </w:r>
          </w:p>
        </w:tc>
      </w:tr>
      <w:tr>
        <w:tc>
          <w:tcPr>
            <w:tcW w:type="dxa" w:w="9350"/>
            <w:shd w:fill="EAFBFC" w:color="auto" w:val="clear"/>
            <w:tcMar>
              <w:top w:type="dxa" w:w="140"/>
              <w:left w:type="dxa" w:w="160"/>
              <w:bottom w:type="dxa" w:w="140"/>
              <w:right w:type="dxa" w:w="160"/>
            </w:tcMar>
            <w:vAlign w:val="center"/>
          </w:tcPr>
          <w:p>
            <w:pPr>
              <w:spacing w:after="0"/>
              <w:jc w:val="center"/>
            </w:pPr>
            <w:r>
              <w:rPr>
                <w:rFonts w:ascii="Calibri" w:cs="Calibri" w:eastAsia="Calibri" w:hAnsi="Calibri"/>
                <w:b/>
                <w:bCs/>
                <w:color w:val="0E7A85"/>
                <w:sz w:val="17"/>
                <w:szCs w:val="17"/>
              </w:rPr>
              <w:t xml:space="preserve">TRUST LAYER  ·  cross-cutting across all of Grid</w:t>
            </w:r>
          </w:p>
          <w:p>
            <w:pPr>
              <w:spacing w:after="0"/>
              <w:jc w:val="center"/>
            </w:pPr>
            <w:r>
              <w:rPr>
                <w:rFonts w:ascii="Calibri" w:cs="Calibri" w:eastAsia="Calibri" w:hAnsi="Calibri"/>
                <w:b w:val="false"/>
                <w:bCs w:val="false"/>
                <w:color w:val="1A6B73"/>
                <w:sz w:val="16"/>
                <w:szCs w:val="16"/>
              </w:rPr>
              <w:t xml:space="preserve">x402 stablecoin settlement  +  Merkle-anchored delivery receipts</w:t>
            </w:r>
          </w:p>
        </w:tc>
      </w:tr>
      <w:tr>
        <w:tc>
          <w:tcPr>
            <w:tcW w:type="dxa" w:w="9350"/>
            <w:shd w:fill="F2F3FF" w:color="auto" w:val="clear"/>
            <w:tcMar>
              <w:top w:type="dxa" w:w="140"/>
              <w:left w:type="dxa" w:w="160"/>
              <w:bottom w:type="dxa" w:w="140"/>
              <w:right w:type="dxa" w:w="160"/>
            </w:tcMar>
            <w:vAlign w:val="center"/>
          </w:tcPr>
          <w:p>
            <w:pPr>
              <w:spacing w:after="0"/>
              <w:jc w:val="center"/>
            </w:pPr>
            <w:r>
              <w:rPr>
                <w:rFonts w:ascii="Calibri" w:cs="Calibri" w:eastAsia="Calibri" w:hAnsi="Calibri"/>
                <w:b/>
                <w:bCs/>
                <w:color w:val="2B2F6B"/>
                <w:sz w:val="18"/>
                <w:szCs w:val="18"/>
              </w:rPr>
              <w:t xml:space="preserve">LMX GRID — TOOL / FUNCTION LAYER</w:t>
            </w:r>
          </w:p>
          <w:p>
            <w:pPr>
              <w:spacing w:after="0"/>
              <w:jc w:val="center"/>
            </w:pPr>
            <w:r>
              <w:rPr>
                <w:rFonts w:ascii="Calibri" w:cs="Calibri" w:eastAsia="Calibri" w:hAnsi="Calibri"/>
                <w:b w:val="false"/>
                <w:bCs w:val="false"/>
                <w:color w:val="40447A"/>
                <w:sz w:val="16"/>
                <w:szCs w:val="16"/>
              </w:rPr>
              <w:t xml:space="preserve">MCP-callable interface  ·  chat_completion, get_pricing, quote_price…  ·  third-party function registry</w:t>
            </w:r>
          </w:p>
        </w:tc>
      </w:tr>
      <w:tr>
        <w:tc>
          <w:tcPr>
            <w:tcW w:type="dxa" w:w="9350"/>
            <w:shd w:fill="F2F3FF" w:color="auto" w:val="clear"/>
            <w:tcMar>
              <w:top w:type="dxa" w:w="140"/>
              <w:left w:type="dxa" w:w="160"/>
              <w:bottom w:type="dxa" w:w="140"/>
              <w:right w:type="dxa" w:w="160"/>
            </w:tcMar>
            <w:vAlign w:val="center"/>
          </w:tcPr>
          <w:p>
            <w:pPr>
              <w:spacing w:after="0"/>
              <w:jc w:val="center"/>
            </w:pPr>
            <w:r>
              <w:rPr>
                <w:rFonts w:ascii="Calibri" w:cs="Calibri" w:eastAsia="Calibri" w:hAnsi="Calibri"/>
                <w:b/>
                <w:bCs/>
                <w:color w:val="2B2F6B"/>
                <w:sz w:val="18"/>
                <w:szCs w:val="18"/>
              </w:rPr>
              <w:t xml:space="preserve">LMX GRID — RESOURCE LAYER</w:t>
            </w:r>
          </w:p>
          <w:p>
            <w:pPr>
              <w:spacing w:after="0"/>
              <w:jc w:val="center"/>
            </w:pPr>
            <w:r>
              <w:rPr>
                <w:rFonts w:ascii="Calibri" w:cs="Calibri" w:eastAsia="Calibri" w:hAnsi="Calibri"/>
                <w:b w:val="false"/>
                <w:bCs w:val="false"/>
                <w:color w:val="40447A"/>
                <w:sz w:val="16"/>
                <w:szCs w:val="16"/>
              </w:rPr>
              <w:t xml:space="preserve">compute (io.net, Akash, Nosana, Aethir…)  ·  storage (Filecoin/Arweave, next)  ·  embeddings, vision, web search</w:t>
            </w:r>
          </w:p>
        </w:tc>
      </w:tr>
    </w:tbl>
    <w:p>
      <w:pPr>
        <w:spacing w:after="0" w:before="200"/>
      </w:pPr>
    </w:p>
    <w:p>
      <w:pPr>
        <w:pStyle w:val="Heading1"/>
        <w:pBdr>
          <w:bottom w:val="single" w:color="5B6BFF" w:sz="8" w:space="4"/>
        </w:pBdr>
        <w:spacing w:after="160" w:before="400"/>
      </w:pPr>
      <w:r>
        <w:rPr>
          <w:rFonts w:ascii="Calibri" w:cs="Calibri" w:eastAsia="Calibri" w:hAnsi="Calibri"/>
          <w:b/>
          <w:bCs/>
          <w:color w:val="5B6BFF"/>
          <w:sz w:val="30"/>
          <w:szCs w:val="30"/>
        </w:rPr>
        <w:t xml:space="preserve">LMX Grid: the core product</w:t>
      </w:r>
    </w:p>
    <w:p>
      <w:pPr>
        <w:spacing w:after="160" w:line="276"/>
      </w:pPr>
      <w:r>
        <w:rPr>
          <w:rFonts w:ascii="Calibri" w:cs="Calibri" w:eastAsia="Calibri" w:hAnsi="Calibri"/>
          <w:color w:val="1A1A2E"/>
          <w:sz w:val="22"/>
          <w:szCs w:val="22"/>
        </w:rPr>
        <w:t xml:space="preserve">LMX Grid is the resource-agnostic router — the “AWS surface.” It has two sub-layers, not one, and the distinction matters: one is what LMX itself operates, the other is the interface an agent actually calls.</w:t>
      </w:r>
    </w:p>
    <w:p>
      <w:pPr>
        <w:pStyle w:val="Heading2"/>
        <w:spacing w:after="120" w:before="280"/>
      </w:pPr>
      <w:r>
        <w:rPr>
          <w:rFonts w:ascii="Calibri" w:cs="Calibri" w:eastAsia="Calibri" w:hAnsi="Calibri"/>
          <w:b/>
          <w:bCs/>
          <w:color w:val="1A1A2E"/>
          <w:sz w:val="24"/>
          <w:szCs w:val="24"/>
        </w:rPr>
        <w:t xml:space="preserve">Resource layer</w:t>
      </w:r>
    </w:p>
    <w:p>
      <w:pPr>
        <w:spacing w:after="160" w:line="276"/>
      </w:pPr>
      <w:r>
        <w:rPr>
          <w:rFonts w:ascii="Calibri" w:cs="Calibri" w:eastAsia="Calibri" w:hAnsi="Calibri"/>
          <w:color w:val="1A1A2E"/>
          <w:sz w:val="22"/>
          <w:szCs w:val="22"/>
        </w:rPr>
        <w:t xml:space="preserve">The resource layer is what LMX operates and routes directly. Compute is live today, aggregated across multiple independent DePIN networks (io.net and Akash as the core pair, with Nosana and Aethir Mesh added for reliability depth and independence). Storage — the “S3 of LMX,” routed to Filecoin/Arweave the same way compute routes today — is the next resource type queued up. Around the edges, LMX is widening what it sells resource-type by resource-type: vision and web search are already live, embeddings and image generation are identified but blocked on providers actually shipping usable SKUs. Every resource type inherits the same telemetry automatically — reliability, latency, and price get measured the same way regardless of what's being routed.</w:t>
      </w:r>
    </w:p>
    <w:p>
      <w:pPr>
        <w:pStyle w:val="Heading2"/>
        <w:spacing w:after="120" w:before="280"/>
      </w:pPr>
      <w:r>
        <w:rPr>
          <w:rFonts w:ascii="Calibri" w:cs="Calibri" w:eastAsia="Calibri" w:hAnsi="Calibri"/>
          <w:b/>
          <w:bCs/>
          <w:color w:val="1A1A2E"/>
          <w:sz w:val="24"/>
          <w:szCs w:val="24"/>
        </w:rPr>
        <w:t xml:space="preserve">Tool / function layer</w:t>
      </w:r>
    </w:p>
    <w:p>
      <w:pPr>
        <w:spacing w:after="160" w:line="276"/>
      </w:pPr>
      <w:r>
        <w:rPr>
          <w:rFonts w:ascii="Calibri" w:cs="Calibri" w:eastAsia="Calibri" w:hAnsi="Calibri"/>
          <w:color w:val="1A1A2E"/>
          <w:sz w:val="22"/>
          <w:szCs w:val="22"/>
        </w:rPr>
        <w:t xml:space="preserve">The tool/function layer is the MCP-callable interface sitting over the resource layer — get_status, list_models, get_pricing, quote_price, get_balance, get_usage, chat_completion, web_search today, and eventually a callable third-party function registry. That registry is the point where Grid stops being “LMX's own tools” and becomes a two-sided marketplace: any wallet-verified provider, including an agent itself, can register a function — a manifest of description, schema, price, and endpoint — and any MCP-compatible agent can discover and call it exactly the way it calls LMX's own built-in tools. A listed seller and a callable function become the same object once distribution runs through MCP.</w:t>
      </w:r>
    </w:p>
    <w:p>
      <w:pPr>
        <w:pStyle w:val="Heading2"/>
        <w:spacing w:after="120" w:before="280"/>
      </w:pPr>
      <w:r>
        <w:rPr>
          <w:rFonts w:ascii="Calibri" w:cs="Calibri" w:eastAsia="Calibri" w:hAnsi="Calibri"/>
          <w:b/>
          <w:bCs/>
          <w:color w:val="1A1A2E"/>
          <w:sz w:val="24"/>
          <w:szCs w:val="24"/>
        </w:rPr>
        <w:t xml:space="preserve">How Grid monetizes: stablecoins and x402</w:t>
      </w:r>
    </w:p>
    <w:p>
      <w:pPr>
        <w:spacing w:after="160" w:line="276"/>
      </w:pPr>
      <w:r>
        <w:rPr>
          <w:rFonts w:ascii="Calibri" w:cs="Calibri" w:eastAsia="Calibri" w:hAnsi="Calibri"/>
          <w:color w:val="1A1A2E"/>
          <w:sz w:val="22"/>
          <w:szCs w:val="22"/>
        </w:rPr>
        <w:t xml:space="preserve">Every call through Grid settles in stablecoin, and it supports two payment shapes side by side rather than picking one. The first is a prepaid credit balance drawn down over many requests — human- and developer-friendly, the on-ramp for anyone signing up through the dashboard. The second, and the one the whole Web3 push was built for, is x402: an agent gets an HTTP 402 challenge with a price, signs a payment for that single call against a wallet, and gets the result back — no signup, no API key, no pre-funded balance, no prior relationship with LMX at all. MCP is simply a transport wrapping either path, so any MCP client — Claude Desktop, Cursor, Windsurf, or a fully autonomous agent — can call in through whichever payment shape fits it. That per-call, wallet-native path is the actual differentiator: it's what lets an agent with no human, no legal entity, and no corporate card pay for a resource at all, which a hyperscaler's billing stack structurally can't do.</w:t>
      </w:r>
    </w:p>
    <w:p>
      <w:pPr>
        <w:pStyle w:val="Heading1"/>
        <w:pBdr>
          <w:bottom w:val="single" w:color="5B6BFF" w:sz="8" w:space="4"/>
        </w:pBdr>
        <w:spacing w:after="160" w:before="400"/>
      </w:pPr>
      <w:r>
        <w:rPr>
          <w:rFonts w:ascii="Calibri" w:cs="Calibri" w:eastAsia="Calibri" w:hAnsi="Calibri"/>
          <w:b/>
          <w:bCs/>
          <w:color w:val="5B6BFF"/>
          <w:sz w:val="30"/>
          <w:szCs w:val="30"/>
        </w:rPr>
        <w:t xml:space="preserve">Distribution: the layer built on top of Grid</w:t>
      </w:r>
    </w:p>
    <w:p>
      <w:pPr>
        <w:spacing w:after="160" w:line="276"/>
      </w:pPr>
      <w:r>
        <w:rPr>
          <w:rFonts w:ascii="Calibri" w:cs="Calibri" w:eastAsia="Calibri" w:hAnsi="Calibri"/>
          <w:color w:val="1A1A2E"/>
          <w:sz w:val="22"/>
          <w:szCs w:val="22"/>
        </w:rPr>
        <w:t xml:space="preserve">Distribution is deliberately positioned above Grid, not beside it, because there is nothing to discover or call through any distribution channel that Grid doesn't first make real. Four surfaces make Grid discoverable and callable, each with a different mechanism and a different reach: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900"/>
        <w:gridCol w:w="2250"/>
      </w:tblGrid>
      <w:tr>
        <w:trPr>
          <w:tblHeader/>
        </w:trPr>
        <w:tc>
          <w:tcPr>
            <w:tcW w:type="dxa" w:w="2200"/>
            <w:shd w:fill="1A1A2E" w:color="auto" w:val="clear"/>
            <w:tcMar>
              <w:top w:type="dxa" w:w="140"/>
              <w:left w:type="dxa" w:w="160"/>
              <w:bottom w:type="dxa" w:w="140"/>
              <w:right w:type="dxa" w:w="160"/>
            </w:tcMar>
            <w:vAlign w:val="center"/>
          </w:tcPr>
          <w:p>
            <w:pPr>
              <w:spacing w:after="0"/>
            </w:pPr>
            <w:r>
              <w:rPr>
                <w:rFonts w:ascii="Calibri" w:cs="Calibri" w:eastAsia="Calibri" w:hAnsi="Calibri"/>
                <w:b/>
                <w:bCs/>
                <w:color w:val="FFFFFF"/>
                <w:sz w:val="18"/>
                <w:szCs w:val="18"/>
              </w:rPr>
              <w:t xml:space="preserve">Channel</w:t>
            </w:r>
          </w:p>
        </w:tc>
        <w:tc>
          <w:tcPr>
            <w:tcW w:type="dxa" w:w="4900"/>
            <w:shd w:fill="1A1A2E" w:color="auto" w:val="clear"/>
            <w:tcMar>
              <w:top w:type="dxa" w:w="140"/>
              <w:left w:type="dxa" w:w="160"/>
              <w:bottom w:type="dxa" w:w="140"/>
              <w:right w:type="dxa" w:w="160"/>
            </w:tcMar>
            <w:vAlign w:val="center"/>
          </w:tcPr>
          <w:p>
            <w:pPr>
              <w:spacing w:after="0"/>
            </w:pPr>
            <w:r>
              <w:rPr>
                <w:rFonts w:ascii="Calibri" w:cs="Calibri" w:eastAsia="Calibri" w:hAnsi="Calibri"/>
                <w:b/>
                <w:bCs/>
                <w:color w:val="FFFFFF"/>
                <w:sz w:val="18"/>
                <w:szCs w:val="18"/>
              </w:rPr>
              <w:t xml:space="preserve">How it works</w:t>
            </w:r>
          </w:p>
        </w:tc>
        <w:tc>
          <w:tcPr>
            <w:tcW w:type="dxa" w:w="2250"/>
            <w:shd w:fill="1A1A2E" w:color="auto" w:val="clear"/>
            <w:tcMar>
              <w:top w:type="dxa" w:w="140"/>
              <w:left w:type="dxa" w:w="160"/>
              <w:bottom w:type="dxa" w:w="140"/>
              <w:right w:type="dxa" w:w="160"/>
            </w:tcMar>
            <w:vAlign w:val="center"/>
          </w:tcPr>
          <w:p>
            <w:pPr>
              <w:spacing w:after="0"/>
            </w:pPr>
            <w:r>
              <w:rPr>
                <w:rFonts w:ascii="Calibri" w:cs="Calibri" w:eastAsia="Calibri" w:hAnsi="Calibri"/>
                <w:b/>
                <w:bCs/>
                <w:color w:val="FFFFFF"/>
                <w:sz w:val="18"/>
                <w:szCs w:val="18"/>
              </w:rPr>
              <w:t xml:space="preserve">Status</w:t>
            </w:r>
          </w:p>
        </w:tc>
      </w:tr>
      <w:tr>
        <w:tc>
          <w:tcPr>
            <w:tcW w:type="dxa" w:w="2200"/>
            <w:tcMar>
              <w:top w:type="dxa" w:w="140"/>
              <w:left w:type="dxa" w:w="160"/>
              <w:bottom w:type="dxa" w:w="140"/>
              <w:right w:type="dxa" w:w="160"/>
            </w:tcMar>
            <w:vAlign w:val="center"/>
          </w:tcPr>
          <w:p>
            <w:pPr>
              <w:spacing w:after="0"/>
            </w:pPr>
            <w:r>
              <w:rPr>
                <w:rFonts w:ascii="Calibri" w:cs="Calibri" w:eastAsia="Calibri" w:hAnsi="Calibri"/>
                <w:b/>
                <w:bCs/>
                <w:color w:val="1A1A2E"/>
                <w:sz w:val="19"/>
                <w:szCs w:val="19"/>
              </w:rPr>
              <w:t xml:space="preserve">x402 Bazaar + Agentic.Market</w:t>
            </w:r>
          </w:p>
        </w:tc>
        <w:tc>
          <w:tcPr>
            <w:tcW w:type="dxa" w:w="4900"/>
            <w:tcMar>
              <w:top w:type="dxa" w:w="140"/>
              <w:left w:type="dxa" w:w="160"/>
              <w:bottom w:type="dxa" w:w="140"/>
              <w:right w:type="dxa" w:w="160"/>
            </w:tcMar>
            <w:vAlign w:val="center"/>
          </w:tcPr>
          <w:p>
            <w:pPr>
              <w:spacing w:after="0"/>
            </w:pPr>
            <w:r>
              <w:rPr>
                <w:rFonts w:ascii="Calibri" w:cs="Calibri" w:eastAsia="Calibri" w:hAnsi="Calibri"/>
                <w:b w:val="false"/>
                <w:bCs w:val="false"/>
                <w:color w:val="555555"/>
                <w:sz w:val="18"/>
                <w:szCs w:val="18"/>
              </w:rPr>
              <w:t xml:space="preserve">Coinbase's protocol-level discovery layer for x402-paid services. Works for any agent that speaks x402, regardless of framework.</w:t>
            </w:r>
          </w:p>
        </w:tc>
        <w:tc>
          <w:tcPr>
            <w:tcW w:type="dxa" w:w="2250"/>
            <w:tcMar>
              <w:top w:type="dxa" w:w="140"/>
              <w:left w:type="dxa" w:w="160"/>
              <w:bottom w:type="dxa" w:w="140"/>
              <w:right w:type="dxa" w:w="160"/>
            </w:tcMar>
            <w:vAlign w:val="center"/>
          </w:tcPr>
          <w:p>
            <w:pPr>
              <w:spacing w:after="0"/>
            </w:pPr>
            <w:r>
              <w:rPr>
                <w:rFonts w:ascii="Calibri" w:cs="Calibri" w:eastAsia="Calibri" w:hAnsi="Calibri"/>
                <w:b w:val="false"/>
                <w:bCs w:val="false"/>
                <w:color w:val="1A1A2E"/>
                <w:sz w:val="18"/>
                <w:szCs w:val="18"/>
              </w:rPr>
              <w:t xml:space="preserve">Live, listed</w:t>
            </w:r>
          </w:p>
        </w:tc>
      </w:tr>
      <w:tr>
        <w:tc>
          <w:tcPr>
            <w:tcW w:type="dxa" w:w="2200"/>
            <w:shd w:fill="F7F7FC" w:color="auto" w:val="clear"/>
            <w:tcMar>
              <w:top w:type="dxa" w:w="140"/>
              <w:left w:type="dxa" w:w="160"/>
              <w:bottom w:type="dxa" w:w="140"/>
              <w:right w:type="dxa" w:w="160"/>
            </w:tcMar>
            <w:vAlign w:val="center"/>
          </w:tcPr>
          <w:p>
            <w:pPr>
              <w:spacing w:after="0"/>
            </w:pPr>
            <w:r>
              <w:rPr>
                <w:rFonts w:ascii="Calibri" w:cs="Calibri" w:eastAsia="Calibri" w:hAnsi="Calibri"/>
                <w:b/>
                <w:bCs/>
                <w:color w:val="1A1A2E"/>
                <w:sz w:val="19"/>
                <w:szCs w:val="19"/>
              </w:rPr>
              <w:t xml:space="preserve">MCP registry</w:t>
            </w:r>
          </w:p>
        </w:tc>
        <w:tc>
          <w:tcPr>
            <w:tcW w:type="dxa" w:w="4900"/>
            <w:shd w:fill="F7F7FC" w:color="auto" w:val="clear"/>
            <w:tcMar>
              <w:top w:type="dxa" w:w="140"/>
              <w:left w:type="dxa" w:w="160"/>
              <w:bottom w:type="dxa" w:w="140"/>
              <w:right w:type="dxa" w:w="160"/>
            </w:tcMar>
            <w:vAlign w:val="center"/>
          </w:tcPr>
          <w:p>
            <w:pPr>
              <w:spacing w:after="0"/>
            </w:pPr>
            <w:r>
              <w:rPr>
                <w:rFonts w:ascii="Calibri" w:cs="Calibri" w:eastAsia="Calibri" w:hAnsi="Calibri"/>
                <w:b w:val="false"/>
                <w:bCs w:val="false"/>
                <w:color w:val="555555"/>
                <w:sz w:val="18"/>
                <w:szCs w:val="18"/>
              </w:rPr>
              <w:t xml:space="preserve">Hosted MCP server exposes Grid as callable tools. Widest net — reaches any MCP-compatible agent (Claude, ChatGPT agents, LangChain), not just crypto-native ones. Doubles as the transport for third-party function listings once Goal 2 ships.</w:t>
            </w:r>
          </w:p>
        </w:tc>
        <w:tc>
          <w:tcPr>
            <w:tcW w:type="dxa" w:w="2250"/>
            <w:shd w:fill="F7F7FC" w:color="auto" w:val="clear"/>
            <w:tcMar>
              <w:top w:type="dxa" w:w="140"/>
              <w:left w:type="dxa" w:w="160"/>
              <w:bottom w:type="dxa" w:w="140"/>
              <w:right w:type="dxa" w:w="160"/>
            </w:tcMar>
            <w:vAlign w:val="center"/>
          </w:tcPr>
          <w:p>
            <w:pPr>
              <w:spacing w:after="0"/>
            </w:pPr>
            <w:r>
              <w:rPr>
                <w:rFonts w:ascii="Calibri" w:cs="Calibri" w:eastAsia="Calibri" w:hAnsi="Calibri"/>
                <w:b w:val="false"/>
                <w:bCs w:val="false"/>
                <w:color w:val="1A1A2E"/>
                <w:sz w:val="18"/>
                <w:szCs w:val="18"/>
              </w:rPr>
              <w:t xml:space="preserve">Live, listed</w:t>
            </w:r>
          </w:p>
        </w:tc>
      </w:tr>
      <w:tr>
        <w:tc>
          <w:tcPr>
            <w:tcW w:type="dxa" w:w="2200"/>
            <w:tcMar>
              <w:top w:type="dxa" w:w="140"/>
              <w:left w:type="dxa" w:w="160"/>
              <w:bottom w:type="dxa" w:w="140"/>
              <w:right w:type="dxa" w:w="160"/>
            </w:tcMar>
            <w:vAlign w:val="center"/>
          </w:tcPr>
          <w:p>
            <w:pPr>
              <w:spacing w:after="0"/>
            </w:pPr>
            <w:r>
              <w:rPr>
                <w:rFonts w:ascii="Calibri" w:cs="Calibri" w:eastAsia="Calibri" w:hAnsi="Calibri"/>
                <w:b/>
                <w:bCs/>
                <w:color w:val="1A1A2E"/>
                <w:sz w:val="19"/>
                <w:szCs w:val="19"/>
              </w:rPr>
              <w:t xml:space="preserve">ElizaOS plugin</w:t>
            </w:r>
          </w:p>
        </w:tc>
        <w:tc>
          <w:tcPr>
            <w:tcW w:type="dxa" w:w="4900"/>
            <w:tcMar>
              <w:top w:type="dxa" w:w="140"/>
              <w:left w:type="dxa" w:w="160"/>
              <w:bottom w:type="dxa" w:w="140"/>
              <w:right w:type="dxa" w:w="160"/>
            </w:tcMar>
            <w:vAlign w:val="center"/>
          </w:tcPr>
          <w:p>
            <w:pPr>
              <w:spacing w:after="0"/>
            </w:pPr>
            <w:r>
              <w:rPr>
                <w:rFonts w:ascii="Calibri" w:cs="Calibri" w:eastAsia="Calibri" w:hAnsi="Calibri"/>
                <w:b w:val="false"/>
                <w:bCs w:val="false"/>
                <w:color w:val="555555"/>
                <w:sz w:val="18"/>
                <w:szCs w:val="18"/>
              </w:rPr>
              <w:t xml:space="preserve">Framework-specific model-provider plugin, wallet-funded. Highest-touch, deliberately sequenced last as a reference case study once the payment flow was proven elsewhere.</w:t>
            </w:r>
          </w:p>
        </w:tc>
        <w:tc>
          <w:tcPr>
            <w:tcW w:type="dxa" w:w="2250"/>
            <w:tcMar>
              <w:top w:type="dxa" w:w="140"/>
              <w:left w:type="dxa" w:w="160"/>
              <w:bottom w:type="dxa" w:w="140"/>
              <w:right w:type="dxa" w:w="160"/>
            </w:tcMar>
            <w:vAlign w:val="center"/>
          </w:tcPr>
          <w:p>
            <w:pPr>
              <w:spacing w:after="0"/>
            </w:pPr>
            <w:r>
              <w:rPr>
                <w:rFonts w:ascii="Calibri" w:cs="Calibri" w:eastAsia="Calibri" w:hAnsi="Calibri"/>
                <w:b w:val="false"/>
                <w:bCs w:val="false"/>
                <w:color w:val="1A1A2E"/>
                <w:sz w:val="18"/>
                <w:szCs w:val="18"/>
              </w:rPr>
              <w:t xml:space="preserve">Live on npm, registry PR pending review</w:t>
            </w:r>
          </w:p>
        </w:tc>
      </w:tr>
      <w:tr>
        <w:tc>
          <w:tcPr>
            <w:tcW w:type="dxa" w:w="2200"/>
            <w:shd w:fill="F7F7FC" w:color="auto" w:val="clear"/>
            <w:tcMar>
              <w:top w:type="dxa" w:w="140"/>
              <w:left w:type="dxa" w:w="160"/>
              <w:bottom w:type="dxa" w:w="140"/>
              <w:right w:type="dxa" w:w="160"/>
            </w:tcMar>
            <w:vAlign w:val="center"/>
          </w:tcPr>
          <w:p>
            <w:pPr>
              <w:spacing w:after="0"/>
            </w:pPr>
            <w:r>
              <w:rPr>
                <w:rFonts w:ascii="Calibri" w:cs="Calibri" w:eastAsia="Calibri" w:hAnsi="Calibri"/>
                <w:b/>
                <w:bCs/>
                <w:color w:val="1A1A2E"/>
                <w:sz w:val="19"/>
                <w:szCs w:val="19"/>
              </w:rPr>
              <w:t xml:space="preserve">LMX.Agent (Track A)</w:t>
            </w:r>
          </w:p>
        </w:tc>
        <w:tc>
          <w:tcPr>
            <w:tcW w:type="dxa" w:w="4900"/>
            <w:shd w:fill="F7F7FC" w:color="auto" w:val="clear"/>
            <w:tcMar>
              <w:top w:type="dxa" w:w="140"/>
              <w:left w:type="dxa" w:w="160"/>
              <w:bottom w:type="dxa" w:w="140"/>
              <w:right w:type="dxa" w:w="160"/>
            </w:tcMar>
            <w:vAlign w:val="center"/>
          </w:tcPr>
          <w:p>
            <w:pPr>
              <w:spacing w:after="0"/>
            </w:pPr>
            <w:r>
              <w:rPr>
                <w:rFonts w:ascii="Calibri" w:cs="Calibri" w:eastAsia="Calibri" w:hAnsi="Calibri"/>
                <w:b w:val="false"/>
                <w:bCs w:val="false"/>
                <w:color w:val="555555"/>
                <w:sz w:val="18"/>
                <w:szCs w:val="18"/>
              </w:rPr>
              <w:t xml:space="preserve">Thin open framework so a developer can spin up a wallet-identified agent that calls Grid's MCP tools and pays via x402 out of the box. Adoption tool, not new product scope.</w:t>
            </w:r>
          </w:p>
        </w:tc>
        <w:tc>
          <w:tcPr>
            <w:tcW w:type="dxa" w:w="2250"/>
            <w:shd w:fill="F7F7FC" w:color="auto" w:val="clear"/>
            <w:tcMar>
              <w:top w:type="dxa" w:w="140"/>
              <w:left w:type="dxa" w:w="160"/>
              <w:bottom w:type="dxa" w:w="140"/>
              <w:right w:type="dxa" w:w="160"/>
            </w:tcMar>
            <w:vAlign w:val="center"/>
          </w:tcPr>
          <w:p>
            <w:pPr>
              <w:spacing w:after="0"/>
            </w:pPr>
            <w:r>
              <w:rPr>
                <w:rFonts w:ascii="Calibri" w:cs="Calibri" w:eastAsia="Calibri" w:hAnsi="Calibri"/>
                <w:b w:val="false"/>
                <w:bCs w:val="false"/>
                <w:color w:val="1A1A2E"/>
                <w:sz w:val="18"/>
                <w:szCs w:val="18"/>
              </w:rPr>
              <w:t xml:space="preserve">Early / adoption tool</w:t>
            </w:r>
          </w:p>
        </w:tc>
      </w:tr>
    </w:tbl>
    <w:p>
      <w:pPr>
        <w:spacing w:after="0" w:before="200"/>
      </w:pPr>
    </w:p>
    <w:p>
      <w:pPr>
        <w:spacing w:after="160" w:line="276"/>
      </w:pPr>
      <w:r>
        <w:rPr>
          <w:rFonts w:ascii="Calibri" w:cs="Calibri" w:eastAsia="Calibri" w:hAnsi="Calibri"/>
          <w:color w:val="1A1A2E"/>
          <w:sz w:val="22"/>
          <w:szCs w:val="22"/>
        </w:rPr>
        <w:t xml:space="preserve">The sequencing across these four was deliberate: x402 Bazaar is protocol-level and works for any x402-speaking agent regardless of framework; MCP is the widest possible net because it reaches any MCP-compatible agent, crypto-native or not; ElizaOS is framework-specific and highest-touch, held for last as a case study once the payment plumbing was already proven on the first two. Current build priority sits with deepening Grid itself (storage routing, the function registry) rather than pushing new distribution investment — the already-live channels stay up and keep collecting whatever traffic finds them, but new energy goes into making Grid a richer product before spending more on getting people to look at it.</w:t>
      </w:r>
    </w:p>
    <w:p>
      <w:pPr>
        <w:pStyle w:val="Heading1"/>
        <w:pBdr>
          <w:bottom w:val="single" w:color="5B6BFF" w:sz="8" w:space="4"/>
        </w:pBdr>
        <w:spacing w:after="160" w:before="400"/>
      </w:pPr>
      <w:r>
        <w:rPr>
          <w:rFonts w:ascii="Calibri" w:cs="Calibri" w:eastAsia="Calibri" w:hAnsi="Calibri"/>
          <w:b/>
          <w:bCs/>
          <w:color w:val="5B6BFF"/>
          <w:sz w:val="30"/>
          <w:szCs w:val="30"/>
        </w:rPr>
        <w:t xml:space="preserve">The moat, and how it compounds</w:t>
      </w:r>
    </w:p>
    <w:p>
      <w:pPr>
        <w:spacing w:after="160" w:line="276"/>
      </w:pPr>
      <w:r>
        <w:rPr>
          <w:rFonts w:ascii="Calibri" w:cs="Calibri" w:eastAsia="Calibri" w:hAnsi="Calibri"/>
          <w:color w:val="1A1A2E"/>
          <w:sz w:val="22"/>
          <w:szCs w:val="22"/>
        </w:rPr>
        <w:t xml:space="preserve">Two things that look like moats aren't. Payment isn't one — Coinbase's CDP Facilitator already owns settlement infrastructure at scale, and Grid builds on top of it rather than competing with it. Discovery isn't one either — the real CDP Bazaar already has the liquidity (hundreds of millions of cumulative x402 transactions, hundreds of thousands of agents), and a bare directory-plus-payment-wrapper has already been shown to be trivially cloneable by a single person in a weekend.</w:t>
      </w:r>
    </w:p>
    <w:p>
      <w:pPr>
        <w:spacing w:after="160" w:line="276"/>
      </w:pPr>
      <w:r>
        <w:rPr>
          <w:rFonts w:ascii="Calibri" w:cs="Calibri" w:eastAsia="Calibri" w:hAnsi="Calibri"/>
          <w:color w:val="1A1A2E"/>
          <w:sz w:val="22"/>
          <w:szCs w:val="22"/>
        </w:rPr>
        <w:t xml:space="preserve">What's actually defensible is proof of delivery: cryptographic, independently checkable evidence that a specific call was fulfilled as specified — hashed, timestamped, and anchored on-chain via Merkle-batched receipts. This is deliberately a narrower claim than “verified correct.” LMX attests that a call happened and the response matched what was declared; it does not vet a third party's output quality. That precision is what keeps the claim legally clean while still being a real trust signal nobody else surveyed in this space has built.</w:t>
      </w:r>
    </w:p>
    <w:p>
      <w:pPr>
        <w:pStyle w:val="Heading2"/>
        <w:spacing w:after="120" w:before="280"/>
      </w:pPr>
      <w:r>
        <w:rPr>
          <w:rFonts w:ascii="Calibri" w:cs="Calibri" w:eastAsia="Calibri" w:hAnsi="Calibri"/>
          <w:b/>
          <w:bCs/>
          <w:color w:val="1A1A2E"/>
          <w:sz w:val="24"/>
          <w:szCs w:val="24"/>
        </w:rPr>
        <w:t xml:space="preserve">The open/closed split that makes it compound</w:t>
      </w:r>
    </w:p>
    <w:p>
      <w:pPr>
        <w:spacing w:after="160" w:line="276"/>
      </w:pPr>
      <w:r>
        <w:rPr>
          <w:rFonts w:ascii="Calibri" w:cs="Calibri" w:eastAsia="Calibri" w:hAnsi="Calibri"/>
          <w:color w:val="1A1A2E"/>
          <w:sz w:val="22"/>
          <w:szCs w:val="22"/>
        </w:rPr>
        <w:t xml:space="preserve">The moat mechanism is composability lock-in, not the routing logic itself. LMX splits its stack the way Infura splits an open JSON-RPC spec from paid reliable node access: the aggregated performance/pricing/uptime index and the receipt-verification layer are open — a stable, queryable schema other routers, frameworks, and researchers can depend on without touching LMX's execution path. The routing and scoring logic that actually decides which provider serves a given call, and the managed, authenticated, billed execution path, stay closed. That's Grid itself, and that stays the product.</w:t>
      </w:r>
    </w:p>
    <w:p>
      <w:pPr>
        <w:spacing w:after="160" w:line="276"/>
      </w:pPr>
      <w:r>
        <w:rPr>
          <w:rFonts w:ascii="Calibri" w:cs="Calibri" w:eastAsia="Calibri" w:hAnsi="Calibri"/>
          <w:color w:val="1A1A2E"/>
          <w:sz w:val="22"/>
          <w:szCs w:val="22"/>
        </w:rPr>
        <w:t xml:space="preserve">Two things make this compound rather than sit static. First, the index's credibility compounds with provider count and time — every additional independent DePIN network, and every additional day of measured uptime and latency, turns “neutral multi-network router” from an assertion into a provable, harder-to-fake claim. A two-network router publishing a reliability comparison is an anecdote; the same claim over five networks and months of receipted data is a record a competitor can't backfill by copying the code. Second, the function registry compounds through integration friction, not just reach: an agent already holding a wallet and MCP session open with LMX can call a newly listed function with zero new integration, while Bazaar's broader-but-shallower catalog requires that same agent to speak x402 fresh to every new provider it discovers. Every function listed makes the next integration cheaper for an agent already inside LMX's ecosystem — a network effect Bazaar's flatter discovery model doesn't replicate.</w:t>
      </w:r>
    </w:p>
    <w:p>
      <w:pPr>
        <w:spacing w:after="160" w:line="276"/>
      </w:pPr>
      <w:r>
        <w:rPr>
          <w:rFonts w:ascii="Calibri" w:cs="Calibri" w:eastAsia="Calibri" w:hAnsi="Calibri"/>
          <w:color w:val="1A1A2E"/>
          <w:sz w:val="22"/>
          <w:szCs w:val="22"/>
        </w:rPr>
        <w:t xml:space="preserve">Put together: settlement is rented, not owned — deliberately, to avoid the regulatory weight and licensing burden of building payment rails from scratch. What's owned is the accumulating record — receipts, reliability data, and a two-sided registry that gets more valuable to both buyers and sellers with every transaction that runs through it. That record is the thing a fast-follower with the same code can't instantly replicate, because it requires the transaction history, not just the architecture.</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Page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55555"/>
        <w:sz w:val="16"/>
        <w:szCs w:val="16"/>
      </w:rPr>
      <w:t xml:space="preserve">LMX Cloud — Primer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2026-07-29T18:17:31.316Z</dcterms:created>
  <dcterms:modified xsi:type="dcterms:W3CDTF">2026-07-29T18:17:31.316Z</dcterms:modified>
</cp:coreProperties>
</file>

<file path=docProps/custom.xml><?xml version="1.0" encoding="utf-8"?>
<Properties xmlns="http://schemas.openxmlformats.org/officeDocument/2006/custom-properties" xmlns:vt="http://schemas.openxmlformats.org/officeDocument/2006/docPropsVTypes"/>
</file>