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p>
      <w:pPr>
        <w:spacing w:after="100"/>
      </w:pPr>
      <w:r>
        <w:rPr>
          <w:b/>
          <w:bCs/>
          <w:color w:val="0891B2"/>
          <w:sz w:val="18"/>
          <w:szCs w:val="18"/>
        </w:rPr>
        <w:t xml:space="preserve">INTERNAL PRIMER  ·  UPDATED JULY 20, 2026</w:t>
      </w:r>
    </w:p>
    <w:p>
      <w:pPr>
        <w:spacing w:after="120"/>
      </w:pPr>
      <w:r>
        <w:rPr>
          <w:b/>
          <w:bCs/>
          <w:color w:val="1E1B4B"/>
          <w:sz w:val="64"/>
          <w:szCs w:val="64"/>
        </w:rPr>
        <w:t xml:space="preserve">LMX Cloud</w:t>
      </w:r>
    </w:p>
    <w:p>
      <w:pPr>
        <w:spacing w:after="260"/>
      </w:pPr>
      <w:r>
        <w:rPr>
          <w:b/>
          <w:bCs/>
          <w:color w:val="4338CA"/>
          <w:sz w:val="34"/>
          <w:szCs w:val="34"/>
        </w:rPr>
        <w:t xml:space="preserve">AWS for Web3</w:t>
      </w:r>
    </w:p>
    <w:p>
      <w:pPr>
        <w:spacing w:after="400"/>
      </w:pPr>
      <w:r>
        <w:rPr>
          <w:i/>
          <w:iCs/>
          <w:color w:val="5B5A78"/>
          <w:sz w:val="23"/>
          <w:szCs w:val="23"/>
        </w:rPr>
        <w:t xml:space="preserve">Web3-native infrastructure for autonomous AI agents: pay-per-call stablecoin settlement, paired with routing into decentralized compute supply that hyperscalers have no margin incentive to ever offer.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50"/>
        <w:gridCol w:w="2350"/>
        <w:gridCol w:w="2350"/>
        <w:gridCol w:w="2350"/>
      </w:tblGrid>
      <w:tr>
        <w:tc>
          <w:tcPr>
            <w:tcW w:type="pct" w:w="25%"/>
            <w:tcBorders>
              <w:top w:val="single" w:color="3D3690" w:sz="4"/>
              <w:left w:val="single" w:color="3D3690" w:sz="4"/>
              <w:bottom w:val="single" w:color="3D3690" w:sz="4"/>
              <w:right w:val="single" w:color="3D3690" w:sz="4"/>
            </w:tcBorders>
            <w:shd w:fill="2B2470" w:val="clear"/>
            <w:tcMar>
              <w:top w:type="dxa" w:w="160"/>
              <w:left w:type="dxa" w:w="160"/>
              <w:bottom w:type="dxa" w:w="16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  <w:p>
            <w:r>
              <w:rPr>
                <w:color w:val="A5A3D6"/>
                <w:sz w:val="13"/>
                <w:szCs w:val="13"/>
              </w:rPr>
              <w:t xml:space="preserve">DEPIN PROVIDERS LIVE</w:t>
            </w:r>
          </w:p>
        </w:tc>
        <w:tc>
          <w:tcPr>
            <w:tcW w:type="pct" w:w="25%"/>
            <w:tcBorders>
              <w:top w:val="single" w:color="3D3690" w:sz="4"/>
              <w:left w:val="single" w:color="3D3690" w:sz="4"/>
              <w:bottom w:val="single" w:color="3D3690" w:sz="4"/>
              <w:right w:val="single" w:color="3D3690" w:sz="4"/>
            </w:tcBorders>
            <w:shd w:fill="2B2470" w:val="clear"/>
            <w:tcMar>
              <w:top w:type="dxa" w:w="160"/>
              <w:left w:type="dxa" w:w="160"/>
              <w:bottom w:type="dxa" w:w="16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30</w:t>
            </w:r>
          </w:p>
          <w:p>
            <w:r>
              <w:rPr>
                <w:color w:val="A5A3D6"/>
                <w:sz w:val="13"/>
                <w:szCs w:val="13"/>
              </w:rPr>
              <w:t xml:space="preserve">MODEL ALIASES ROUTED</w:t>
            </w:r>
          </w:p>
        </w:tc>
        <w:tc>
          <w:tcPr>
            <w:tcW w:type="pct" w:w="25%"/>
            <w:tcBorders>
              <w:top w:val="single" w:color="3D3690" w:sz="4"/>
              <w:left w:val="single" w:color="3D3690" w:sz="4"/>
              <w:bottom w:val="single" w:color="3D3690" w:sz="4"/>
              <w:right w:val="single" w:color="3D3690" w:sz="4"/>
            </w:tcBorders>
            <w:shd w:fill="2B2470" w:val="clear"/>
            <w:tcMar>
              <w:top w:type="dxa" w:w="160"/>
              <w:left w:type="dxa" w:w="160"/>
              <w:bottom w:type="dxa" w:w="16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  <w:p>
            <w:r>
              <w:rPr>
                <w:color w:val="A5A3D6"/>
                <w:sz w:val="13"/>
                <w:szCs w:val="13"/>
              </w:rPr>
              <w:t xml:space="preserve">DISTRIBUTION CHANNELS</w:t>
            </w:r>
          </w:p>
        </w:tc>
        <w:tc>
          <w:tcPr>
            <w:tcW w:type="pct" w:w="25%"/>
            <w:tcBorders>
              <w:top w:val="single" w:color="3D3690" w:sz="4"/>
              <w:left w:val="single" w:color="3D3690" w:sz="4"/>
              <w:bottom w:val="single" w:color="3D3690" w:sz="4"/>
              <w:right w:val="single" w:color="3D3690" w:sz="4"/>
            </w:tcBorders>
            <w:shd w:fill="2B2470" w:val="clear"/>
            <w:tcMar>
              <w:top w:type="dxa" w:w="160"/>
              <w:left w:type="dxa" w:w="160"/>
              <w:bottom w:type="dxa" w:w="16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Base</w:t>
            </w:r>
          </w:p>
          <w:p>
            <w:r>
              <w:rPr>
                <w:color w:val="A5A3D6"/>
                <w:sz w:val="13"/>
                <w:szCs w:val="13"/>
              </w:rPr>
              <w:t xml:space="preserve">SETTLEMENT CHAIN</w:t>
            </w:r>
          </w:p>
        </w:tc>
      </w:tr>
    </w:tbl>
    <w:p>
      <w:pPr>
        <w:spacing w:after="0" w:before="500"/>
      </w:pPr>
    </w:p>
    <w:p>
      <w:pPr>
        <w:pBdr>
          <w:top w:val="single" w:color="E6E4F2" w:sz="4" w:space="8"/>
        </w:pBdr>
        <w:spacing w:after="0"/>
      </w:pPr>
      <w:r>
        <w:rPr>
          <w:i/>
          <w:iCs/>
          <w:color w:val="5B5A78"/>
          <w:sz w:val="17"/>
          <w:szCs w:val="17"/>
        </w:rPr>
        <w:t xml:space="preserve">For the live, code-verified execution plan and blow-by-blow status, see ROADMAP.md. This document is the "what and why."</w:t>
      </w:r>
    </w:p>
    <w:p>
      <w:r>
        <w:br w:type="page"/>
      </w:r>
    </w:p>
    <w:p>
      <w:pPr>
        <w:pStyle w:val="Heading1"/>
        <w:pBdr>
          <w:bottom w:val="single" w:color="6366F1" w:sz="6" w:space="6"/>
        </w:pBdr>
        <w:spacing w:after="160" w:before="420"/>
      </w:pPr>
      <w:r>
        <w:rPr>
          <w:b/>
          <w:bCs/>
          <w:color w:val="4338CA"/>
          <w:sz w:val="30"/>
          <w:szCs w:val="30"/>
        </w:rPr>
        <w:t xml:space="preserve">01 · What We're Building</w:t>
      </w:r>
    </w:p>
    <w:p>
      <w:pPr>
        <w:spacing w:after="200"/>
      </w:pPr>
      <w:r>
        <w:rPr>
          <w:i/>
          <w:iCs/>
          <w:color w:val="5B5A78"/>
          <w:sz w:val="21"/>
          <w:szCs w:val="21"/>
        </w:rPr>
        <w:t xml:space="preserve">The direction has sharpened twice — worth being explicit about both moves.</w:t>
      </w:r>
    </w:p>
    <w:p>
      <w:pPr>
        <w:spacing w:after="160"/>
      </w:pPr>
      <w:r>
        <w:rPr>
          <w:color w:val="2C2B45"/>
          <w:sz w:val="21"/>
          <w:szCs w:val="21"/>
        </w:rPr>
        <w:t xml:space="preserve">LMX Cloud started as a DePIN inference router: an OpenAI-compatible API that routes AI inference requests across decentralized GPU networks (io.net, Akash) instead of a single centralized provider, with automatic failover if one network degrades.</w:t>
      </w:r>
    </w:p>
    <w:p>
      <w:pPr>
        <w:spacing w:after="160"/>
      </w:pPr>
      <w:r>
        <w:rPr>
          <w:color w:val="2C2B45"/>
          <w:sz w:val="21"/>
          <w:szCs w:val="21"/>
        </w:rPr>
        <w:t xml:space="preserve">The positioning has since sharpened into something narrower and more defensible: LMX Cloud is Web3-native infrastructure built specifically for autonomous AI agents — software that holds its own crypto wallet and pays for its own compute with no human in the loop. The pitch is two things bolted together, not one: x402-native agent payments, paired with routing to decentralized compute supply a centralized neocloud has no reason to ever build toward.</w:t>
      </w:r>
    </w:p>
    <w:tbl>
      <w:tblPr>
        <w:tblW w:type="pct" w:w="100%"/>
        <w:tblBorders>
          <w:top w:val="none" w:color="FFFFFF" w:sz="0"/>
          <w:left w:val="none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single" w:color="F1F0FF" w:sz="2"/>
              <w:left w:val="single" w:color="4338CA" w:sz="24"/>
              <w:bottom w:val="single" w:color="F1F0FF" w:sz="2"/>
              <w:right w:val="single" w:color="F1F0FF" w:sz="2"/>
            </w:tcBorders>
            <w:shd w:fill="F1F0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b/>
                <w:bCs/>
                <w:color w:val="4338CA"/>
                <w:sz w:val="17"/>
                <w:szCs w:val="17"/>
              </w:rPr>
              <w:t xml:space="preserve">END STATE — PHASE 1  </w:t>
            </w:r>
            <w:r>
              <w:rPr>
                <w:color w:val="2C2B45"/>
                <w:sz w:val="20"/>
                <w:szCs w:val="20"/>
              </w:rPr>
              <w:t xml:space="preserve">an agent with zero prior relationship to LMX discovers it via x402 Bazaar, MCP, or the ElizaOS plugin, pays per call in stablecoin, and gets routed DePIN compute back — no signup, no credit card, no human in the loop.</w:t>
            </w:r>
          </w:p>
        </w:tc>
      </w:tr>
    </w:tbl>
    <w:p>
      <w:pPr>
        <w:pStyle w:val="Heading1"/>
        <w:pBdr>
          <w:bottom w:val="single" w:color="6366F1" w:sz="6" w:space="6"/>
        </w:pBdr>
        <w:spacing w:after="160" w:before="420"/>
      </w:pPr>
      <w:r>
        <w:rPr>
          <w:b/>
          <w:bCs/>
          <w:color w:val="4338CA"/>
          <w:sz w:val="30"/>
          <w:szCs w:val="30"/>
        </w:rPr>
        <w:t xml:space="preserve">02 · The Thesis — Why This, Not Something More Obvious</w:t>
      </w:r>
    </w:p>
    <w:p>
      <w:pPr>
        <w:spacing w:after="200"/>
      </w:pPr>
      <w:r>
        <w:rPr>
          <w:i/>
          <w:iCs/>
          <w:color w:val="5B5A78"/>
          <w:sz w:val="21"/>
          <w:szCs w:val="21"/>
        </w:rPr>
        <w:t xml:space="preserve">Two roads that look easier both dead-end. The actual wedge is between them.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00"/>
        <w:gridCol w:w="4700"/>
      </w:tblGrid>
      <w:tr>
        <w:tc>
          <w:tcPr>
            <w:tcW w:type="pct" w:w="50%"/>
            <w:tcBorders>
              <w:top w:val="single" w:color="E6E4F2" w:sz="4"/>
              <w:left w:val="single" w:color="E6E4F2" w:sz="4"/>
              <w:bottom w:val="single" w:color="E6E4F2" w:sz="4"/>
              <w:right w:val="single" w:color="E6E4F2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  <w:sz w:val="15"/>
                <w:szCs w:val="15"/>
              </w:rPr>
              <w:t xml:space="preserve">ROAD NOT TAKEN — CHEAP GPU FOR EVERYONE</w:t>
            </w:r>
          </w:p>
          <w:p>
            <w:pPr>
              <w:spacing w:after="80"/>
            </w:pPr>
            <w:r>
              <w:rPr>
                <w:b/>
                <w:bCs/>
                <w:color w:val="1B1A2E"/>
                <w:sz w:val="20"/>
                <w:szCs w:val="20"/>
              </w:rPr>
              <w:t xml:space="preserve">Already a red ocean</w:t>
            </w:r>
          </w:p>
          <w:p>
            <w:pPr>
              <w:spacing w:after="0"/>
            </w:pPr>
            <w:r>
              <w:rPr>
                <w:color w:val="454363"/>
                <w:sz w:val="18"/>
                <w:szCs w:val="18"/>
              </w:rPr>
              <w:t xml:space="preserve">CoreWeave alone: $23B IPO valuation, $5B 2025 revenue, $99.4B order backlog by March 2026 — competing purely on price and capacity. 300+ new GPU cloud entrants launched in 2025; H100 rental prices fell 64–75% in eighteen months. Capital-intensive, already owned by well-funded centralized players.</w:t>
            </w:r>
          </w:p>
        </w:tc>
        <w:tc>
          <w:tcPr>
            <w:tcW w:type="pct" w:w="50%"/>
            <w:tcBorders>
              <w:top w:val="single" w:color="E6E4F2" w:sz="4"/>
              <w:left w:val="single" w:color="E6E4F2" w:sz="4"/>
              <w:bottom w:val="single" w:color="E6E4F2" w:sz="4"/>
              <w:right w:val="single" w:color="E6E4F2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  <w:sz w:val="15"/>
                <w:szCs w:val="15"/>
              </w:rPr>
              <w:t xml:space="preserve">ROAD NOT TAKEN — DECENTRALIZED COMPUTE FOR "WEB3 DEVS"</w:t>
            </w:r>
          </w:p>
          <w:p>
            <w:pPr>
              <w:spacing w:after="80"/>
            </w:pPr>
            <w:r>
              <w:rPr>
                <w:b/>
                <w:bCs/>
                <w:color w:val="1B1A2E"/>
                <w:sz w:val="20"/>
                <w:szCs w:val="20"/>
              </w:rPr>
              <w:t xml:space="preserve">Smaller and more stagnant than it looks</w:t>
            </w:r>
          </w:p>
          <w:p>
            <w:pPr>
              <w:spacing w:after="0"/>
            </w:pPr>
            <w:r>
              <w:rPr>
                <w:color w:val="454363"/>
                <w:sz w:val="18"/>
                <w:szCs w:val="18"/>
              </w:rPr>
              <w:t xml:space="preserve">Akash, the closest comparable, sells to a handful of crypto-native projects who mostly sell to each other — and its active provider count recently hit the lowest point in the network's history.</w:t>
            </w:r>
          </w:p>
        </w:tc>
      </w:tr>
    </w:tbl>
    <w:p>
      <w:pPr>
        <w:spacing w:after="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none" w:color="FFFFFF" w:sz="0"/>
          <w:left w:val="none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single" w:color="F1F0FF" w:sz="2"/>
              <w:left w:val="single" w:color="4338CA" w:sz="24"/>
              <w:bottom w:val="single" w:color="F1F0FF" w:sz="2"/>
              <w:right w:val="single" w:color="F1F0FF" w:sz="2"/>
            </w:tcBorders>
            <w:shd w:fill="F1F0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b/>
                <w:bCs/>
                <w:color w:val="4338CA"/>
                <w:sz w:val="17"/>
                <w:szCs w:val="17"/>
              </w:rPr>
              <w:t xml:space="preserve">THE ACTUAL WEDGE  </w:t>
            </w:r>
            <w:r>
              <w:rPr>
                <w:color w:val="2C2B45"/>
                <w:sz w:val="20"/>
                <w:szCs w:val="20"/>
              </w:rPr>
              <w:t xml:space="preserve">autonomous agents and DAOs that structurally cannot use hyperscaler billing. A DAO's treasury is a multisig, not a corporate entity — it can't open an AWS enterprise account. An agent can't sign an enterprise services agreement. Both can hold and spend a crypto wallet. x402 (backed by Coinbase, Cloudflare, Stripe, Google, Microsoft, AWS, Circle, Visa, Mastercard) is becoming the way software pays software — and pairing that rail with decentralized compute is something a centralized neocloud would have to give up margin and control to build.</w:t>
            </w:r>
          </w:p>
        </w:tc>
      </w:tr>
    </w:tbl>
    <w:p>
      <w:pPr>
        <w:pStyle w:val="Heading1"/>
        <w:pBdr>
          <w:bottom w:val="single" w:color="6366F1" w:sz="6" w:space="6"/>
        </w:pBdr>
        <w:spacing w:after="160" w:before="420"/>
      </w:pPr>
      <w:r>
        <w:rPr>
          <w:b/>
          <w:bCs/>
          <w:color w:val="4338CA"/>
          <w:sz w:val="30"/>
          <w:szCs w:val="30"/>
        </w:rPr>
        <w:t xml:space="preserve">03 · Who The Customer Actually Is</w:t>
      </w:r>
    </w:p>
    <w:p>
      <w:pPr>
        <w:spacing w:after="200"/>
      </w:pPr>
      <w:r>
        <w:rPr>
          <w:i/>
          <w:iCs/>
          <w:color w:val="5B5A78"/>
          <w:sz w:val="21"/>
          <w:szCs w:val="21"/>
        </w:rPr>
        <w:t xml:space="preserve">Ranked by how acutely each segment feels the problem.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33"/>
        <w:gridCol w:w="3133"/>
        <w:gridCol w:w="3134"/>
      </w:tblGrid>
      <w:tr>
        <w:tc>
          <w:tcPr>
            <w:tcW w:type="pct" w:w="33%"/>
            <w:tcBorders>
              <w:top w:val="single" w:color="E6E4F2" w:sz="4"/>
              <w:left w:val="single" w:color="E6E4F2" w:sz="4"/>
              <w:bottom w:val="single" w:color="E6E4F2" w:sz="4"/>
              <w:right w:val="single" w:color="E6E4F2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6366F1"/>
                <w:sz w:val="14"/>
                <w:szCs w:val="14"/>
              </w:rPr>
              <w:t xml:space="preserve">MOST ACUTE</w:t>
            </w:r>
          </w:p>
          <w:p>
            <w:pPr>
              <w:spacing w:after="80"/>
            </w:pPr>
            <w:r>
              <w:rPr>
                <w:b/>
                <w:bCs/>
                <w:color w:val="1B1A2E"/>
                <w:sz w:val="19"/>
                <w:szCs w:val="19"/>
              </w:rPr>
              <w:t xml:space="preserve">DAOs &amp; crypto-native treasuries</w:t>
            </w:r>
          </w:p>
          <w:p>
            <w:pPr>
              <w:spacing w:after="0"/>
            </w:pPr>
            <w:r>
              <w:rPr>
                <w:color w:val="454363"/>
                <w:sz w:val="17"/>
                <w:szCs w:val="17"/>
              </w:rPr>
              <w:t xml:space="preserve">No path into enterprise cloud billing. Gnosis, Mantle, and Tron DAO are already funding "AI agents as economic actors" off billion-dollar-plus treasuries.</w:t>
            </w:r>
          </w:p>
        </w:tc>
        <w:tc>
          <w:tcPr>
            <w:tcW w:type="pct" w:w="33%"/>
            <w:tcBorders>
              <w:top w:val="single" w:color="E6E4F2" w:sz="4"/>
              <w:left w:val="single" w:color="E6E4F2" w:sz="4"/>
              <w:bottom w:val="single" w:color="E6E4F2" w:sz="4"/>
              <w:right w:val="single" w:color="E6E4F2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6366F1"/>
                <w:sz w:val="14"/>
                <w:szCs w:val="14"/>
              </w:rPr>
              <w:t xml:space="preserve">HIGH VOLUME</w:t>
            </w:r>
          </w:p>
          <w:p>
            <w:pPr>
              <w:spacing w:after="80"/>
            </w:pPr>
            <w:r>
              <w:rPr>
                <w:b/>
                <w:bCs/>
                <w:color w:val="1B1A2E"/>
                <w:sz w:val="19"/>
                <w:szCs w:val="19"/>
              </w:rPr>
              <w:t xml:space="preserve">Agent-launchpad ecosystems</w:t>
            </w:r>
          </w:p>
          <w:p>
            <w:pPr>
              <w:spacing w:after="0"/>
            </w:pPr>
            <w:r>
              <w:rPr>
                <w:color w:val="454363"/>
                <w:sz w:val="17"/>
                <w:szCs w:val="17"/>
              </w:rPr>
              <w:t xml:space="preserve">Virtuals Protocol hosts 15,800+ agent projects; ElizaOS is the de facto framework for on-chain agents. Operators want each agent self-sovereign, not manually funded.</w:t>
            </w:r>
          </w:p>
        </w:tc>
        <w:tc>
          <w:tcPr>
            <w:tcW w:type="pct" w:w="33%"/>
            <w:tcBorders>
              <w:top w:val="single" w:color="E6E4F2" w:sz="4"/>
              <w:left w:val="single" w:color="E6E4F2" w:sz="4"/>
              <w:bottom w:val="single" w:color="E6E4F2" w:sz="4"/>
              <w:right w:val="single" w:color="E6E4F2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6366F1"/>
                <w:sz w:val="14"/>
                <w:szCs w:val="14"/>
              </w:rPr>
              <w:t xml:space="preserve">FASTEST TO CONVERT</w:t>
            </w:r>
          </w:p>
          <w:p>
            <w:pPr>
              <w:spacing w:after="80"/>
            </w:pPr>
            <w:r>
              <w:rPr>
                <w:b/>
                <w:bCs/>
                <w:color w:val="1B1A2E"/>
                <w:sz w:val="19"/>
                <w:szCs w:val="19"/>
              </w:rPr>
              <w:t xml:space="preserve">Existing crypto-native AI teams</w:t>
            </w:r>
          </w:p>
          <w:p>
            <w:pPr>
              <w:spacing w:after="0"/>
            </w:pPr>
            <w:r>
              <w:rPr>
                <w:color w:val="454363"/>
                <w:sz w:val="17"/>
                <w:szCs w:val="17"/>
              </w:rPr>
              <w:t xml:space="preserve">Already hold stablecoin treasuries, want multi-provider resilience without building and operating the routing logic themselves.</w:t>
            </w:r>
          </w:p>
        </w:tc>
      </w:tr>
    </w:tbl>
    <w:p>
      <w:pPr>
        <w:pStyle w:val="Heading1"/>
        <w:pBdr>
          <w:bottom w:val="single" w:color="6366F1" w:sz="6" w:space="6"/>
        </w:pBdr>
        <w:spacing w:after="160" w:before="420"/>
      </w:pPr>
      <w:r>
        <w:rPr>
          <w:b/>
          <w:bCs/>
          <w:color w:val="4338CA"/>
          <w:sz w:val="30"/>
          <w:szCs w:val="30"/>
        </w:rPr>
        <w:t xml:space="preserve">04 · How We Make Money</w:t>
      </w:r>
    </w:p>
    <w:p>
      <w:pPr>
        <w:spacing w:after="160"/>
      </w:pPr>
      <w:r>
        <w:rPr>
          <w:color w:val="2C2B45"/>
          <w:sz w:val="21"/>
          <w:szCs w:val="21"/>
        </w:rPr>
        <w:t xml:space="preserve">Not like CoreWeave, which owns hardware and carries capex. LMX Cloud owns no compute — it buys wholesale from io.net and Akash and charges a spread per request. That's closer to Stripe/Plaid economics than a cloud provider's: thin margin per unit, no capex, and margin that holds or improves as the underlying DePIN market keeps getting cheaper.</w:t>
      </w:r>
    </w:p>
    <w:tbl>
      <w:tblPr>
        <w:tblW w:type="pct" w:w="100%"/>
        <w:tblBorders>
          <w:top w:val="none" w:color="FFFFFF" w:sz="0"/>
          <w:left w:val="none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single" w:color="F1F0FF" w:sz="2"/>
              <w:left w:val="single" w:color="4338CA" w:sz="24"/>
              <w:bottom w:val="single" w:color="F1F0FF" w:sz="2"/>
              <w:right w:val="single" w:color="F1F0FF" w:sz="2"/>
            </w:tcBorders>
            <w:shd w:fill="F1F0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b/>
                <w:bCs/>
                <w:color w:val="4338CA"/>
                <w:sz w:val="17"/>
                <w:szCs w:val="17"/>
              </w:rPr>
              <w:t xml:space="preserve">BOTTOM LINE  </w:t>
            </w:r>
            <w:r>
              <w:rPr>
                <w:color w:val="2C2B45"/>
                <w:sz w:val="20"/>
                <w:szCs w:val="20"/>
              </w:rPr>
              <w:t xml:space="preserve">Revenue scales by routing more traffic through the toll booth — not by building more capacity.</w:t>
            </w:r>
          </w:p>
        </w:tc>
      </w:tr>
    </w:tbl>
    <w:p>
      <w:pPr>
        <w:pStyle w:val="Heading1"/>
        <w:pBdr>
          <w:bottom w:val="single" w:color="6366F1" w:sz="6" w:space="6"/>
        </w:pBdr>
        <w:spacing w:after="160" w:before="420"/>
      </w:pPr>
      <w:r>
        <w:rPr>
          <w:b/>
          <w:bCs/>
          <w:color w:val="4338CA"/>
          <w:sz w:val="30"/>
          <w:szCs w:val="30"/>
        </w:rPr>
        <w:t xml:space="preserve">05 · How It Works</w:t>
      </w:r>
    </w:p>
    <w:p>
      <w:pPr>
        <w:spacing w:after="200"/>
      </w:pPr>
      <w:r>
        <w:rPr>
          <w:i/>
          <w:iCs/>
          <w:color w:val="5B5A78"/>
          <w:sz w:val="21"/>
          <w:szCs w:val="21"/>
        </w:rPr>
        <w:t xml:space="preserve">Three systems stitched together: inference routing, identity/payments, and agent-facing distribution.</w:t>
      </w:r>
    </w:p>
    <w:p>
      <w:pPr>
        <w:pStyle w:val="Heading2"/>
        <w:spacing w:after="100" w:before="260"/>
      </w:pPr>
      <w:r>
        <w:rPr>
          <w:b/>
          <w:bCs/>
          <w:color w:val="1E1B4B"/>
          <w:sz w:val="24"/>
          <w:szCs w:val="24"/>
        </w:rPr>
        <w:t xml:space="preserve">Inference routing</w:t>
      </w:r>
    </w:p>
    <w:p>
      <w:pPr>
        <w:spacing w:after="160"/>
      </w:pPr>
      <w:r>
        <w:rPr>
          <w:color w:val="2C2B45"/>
          <w:sz w:val="21"/>
          <w:szCs w:val="21"/>
        </w:rPr>
        <w:t xml:space="preserve">Requests hit an OpenAI-compatible endpoint and are routed across a health-checked fallback chain — no silent centralization; response headers (x-lmx-provider, x-lmx-fallback) always disclose which network actually served the request.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80"/>
        <w:gridCol w:w="1880"/>
        <w:gridCol w:w="1880"/>
        <w:gridCol w:w="1880"/>
        <w:gridCol w:w="1880"/>
      </w:tblGrid>
      <w:tr>
        <w:tc>
          <w:tcPr>
            <w:tcBorders>
              <w:top w:val="single" w:color="6366F1" w:sz="6"/>
              <w:left w:val="single" w:color="6366F1" w:sz="6"/>
              <w:bottom w:val="single" w:color="6366F1" w:sz="6"/>
              <w:right w:val="single" w:color="6366F1" w:sz="6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338CA"/>
                <w:sz w:val="17"/>
                <w:szCs w:val="17"/>
              </w:rPr>
              <w:t xml:space="preserve">Agent / Developer</w:t>
            </w:r>
          </w:p>
        </w:tc>
        <w:tc>
          <w:tcPr>
            <w:tcBorders>
              <w:top w:val="single" w:color="0891B2" w:sz="6"/>
              <w:left w:val="single" w:color="0891B2" w:sz="6"/>
              <w:bottom w:val="single" w:color="0891B2" w:sz="6"/>
              <w:right w:val="single" w:color="0891B2" w:sz="6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891B2"/>
                <w:sz w:val="17"/>
                <w:szCs w:val="17"/>
              </w:rPr>
              <w:t xml:space="preserve">→</w:t>
            </w:r>
          </w:p>
        </w:tc>
        <w:tc>
          <w:tcPr>
            <w:tcBorders>
              <w:top w:val="single" w:color="0891B2" w:sz="6"/>
              <w:left w:val="single" w:color="0891B2" w:sz="6"/>
              <w:bottom w:val="single" w:color="0891B2" w:sz="6"/>
              <w:right w:val="single" w:color="0891B2" w:sz="6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891B2"/>
                <w:sz w:val="17"/>
                <w:szCs w:val="17"/>
              </w:rPr>
              <w:t xml:space="preserve">LMX Router</w:t>
            </w:r>
          </w:p>
        </w:tc>
        <w:tc>
          <w:tcPr>
            <w:tcBorders>
              <w:top w:val="single" w:color="0891B2" w:sz="6"/>
              <w:left w:val="single" w:color="0891B2" w:sz="6"/>
              <w:bottom w:val="single" w:color="0891B2" w:sz="6"/>
              <w:right w:val="single" w:color="0891B2" w:sz="6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891B2"/>
                <w:sz w:val="17"/>
                <w:szCs w:val="17"/>
              </w:rPr>
              <w:t xml:space="preserve">→</w:t>
            </w:r>
          </w:p>
        </w:tc>
        <w:tc>
          <w:tcPr>
            <w:tcBorders>
              <w:top w:val="single" w:color="6366F1" w:sz="6"/>
              <w:left w:val="single" w:color="6366F1" w:sz="6"/>
              <w:bottom w:val="single" w:color="6366F1" w:sz="6"/>
              <w:right w:val="single" w:color="6366F1" w:sz="6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338CA"/>
                <w:sz w:val="17"/>
                <w:szCs w:val="17"/>
              </w:rPr>
              <w:t xml:space="preserve">io.net → AkashML → Nosana → Together</w:t>
            </w:r>
          </w:p>
        </w:tc>
      </w:tr>
    </w:tbl>
    <w:p>
      <w:pPr>
        <w:spacing w:after="0"/>
      </w:pPr>
      <w:r>
        <w:rPr>
          <w:sz w:val="2"/>
          <w:szCs w:val="2"/>
        </w:rPr>
        <w:t xml:space="preserve"/>
      </w:r>
    </w:p>
    <w:p>
      <w:pPr>
        <w:pStyle w:val="Heading2"/>
        <w:spacing w:after="100" w:before="260"/>
      </w:pPr>
      <w:r>
        <w:rPr>
          <w:b/>
          <w:bCs/>
          <w:color w:val="1E1B4B"/>
          <w:sz w:val="24"/>
          <w:szCs w:val="24"/>
        </w:rPr>
        <w:t xml:space="preserve">Identity &amp; payments — two paths, same balance system</w:t>
      </w:r>
    </w:p>
    <w:p>
      <w:pPr>
        <w:spacing w:after="160"/>
      </w:pPr>
      <w:r>
        <w:rPr>
          <w:b/>
          <w:bCs/>
          <w:color w:val="1B1A2E"/>
          <w:sz w:val="21"/>
          <w:szCs w:val="21"/>
        </w:rPr>
        <w:t xml:space="preserve">Funded path:</w:t>
      </w:r>
      <w:r>
        <w:rPr>
          <w:color w:val="2C2B45"/>
          <w:sz w:val="21"/>
          <w:szCs w:val="21"/>
        </w:rPr>
        <w:t xml:space="preserve">Sign in by email (Clerk) or wallet (SIWE / EIP-4361) — including a raw keypair with no browser, which is what makes an agent able to mint its own key. Deposit USDC on Base to a treasury address; an on-chain listener confirms and auto-credits balance. Every call draws down that balance.</w:t>
      </w:r>
    </w:p>
    <w:p>
      <w:pPr>
        <w:spacing w:after="160"/>
      </w:pPr>
      <w:r>
        <w:rPr>
          <w:b/>
          <w:bCs/>
          <w:color w:val="1B1A2E"/>
          <w:sz w:val="21"/>
          <w:szCs w:val="21"/>
        </w:rPr>
        <w:t xml:space="preserve">Pay-per-call path (x402):</w:t>
      </w:r>
      <w:r>
        <w:rPr>
          <w:color w:val="2C2B45"/>
          <w:sz w:val="21"/>
          <w:szCs w:val="21"/>
        </w:rPr>
        <w:t xml:space="preserve">No key at all. An agent calls the endpoint, gets 402 Payment Required, signs a payment payload, retries. Coinbase's CDP Facilitator verifies and settles the USDC payment on Base, LMX routes the request, and the whole thing is logged as a payment_event.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42"/>
        <w:gridCol w:w="1342"/>
        <w:gridCol w:w="1342"/>
        <w:gridCol w:w="1342"/>
        <w:gridCol w:w="1342"/>
        <w:gridCol w:w="1342"/>
        <w:gridCol w:w="1342"/>
      </w:tblGrid>
      <w:tr>
        <w:tc>
          <w:tcPr>
            <w:tcBorders>
              <w:top w:val="single" w:color="6366F1" w:sz="6"/>
              <w:left w:val="single" w:color="6366F1" w:sz="6"/>
              <w:bottom w:val="single" w:color="6366F1" w:sz="6"/>
              <w:right w:val="single" w:color="6366F1" w:sz="6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338CA"/>
                <w:sz w:val="17"/>
                <w:szCs w:val="17"/>
              </w:rPr>
              <w:t xml:space="preserve">Agent wallet</w:t>
            </w:r>
          </w:p>
        </w:tc>
        <w:tc>
          <w:tcPr>
            <w:tcBorders>
              <w:top w:val="single" w:color="0891B2" w:sz="6"/>
              <w:left w:val="single" w:color="0891B2" w:sz="6"/>
              <w:bottom w:val="single" w:color="0891B2" w:sz="6"/>
              <w:right w:val="single" w:color="0891B2" w:sz="6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891B2"/>
                <w:sz w:val="17"/>
                <w:szCs w:val="17"/>
              </w:rPr>
              <w:t xml:space="preserve">→</w:t>
            </w:r>
          </w:p>
        </w:tc>
        <w:tc>
          <w:tcPr>
            <w:tcBorders>
              <w:top w:val="single" w:color="6366F1" w:sz="6"/>
              <w:left w:val="single" w:color="6366F1" w:sz="6"/>
              <w:bottom w:val="single" w:color="6366F1" w:sz="6"/>
              <w:right w:val="single" w:color="6366F1" w:sz="6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338CA"/>
                <w:sz w:val="17"/>
                <w:szCs w:val="17"/>
              </w:rPr>
              <w:t xml:space="preserve">402 challenge</w:t>
            </w:r>
          </w:p>
        </w:tc>
        <w:tc>
          <w:tcPr>
            <w:tcBorders>
              <w:top w:val="single" w:color="0891B2" w:sz="6"/>
              <w:left w:val="single" w:color="0891B2" w:sz="6"/>
              <w:bottom w:val="single" w:color="0891B2" w:sz="6"/>
              <w:right w:val="single" w:color="0891B2" w:sz="6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891B2"/>
                <w:sz w:val="17"/>
                <w:szCs w:val="17"/>
              </w:rPr>
              <w:t xml:space="preserve">→</w:t>
            </w:r>
          </w:p>
        </w:tc>
        <w:tc>
          <w:tcPr>
            <w:tcBorders>
              <w:top w:val="single" w:color="0891B2" w:sz="6"/>
              <w:left w:val="single" w:color="0891B2" w:sz="6"/>
              <w:bottom w:val="single" w:color="0891B2" w:sz="6"/>
              <w:right w:val="single" w:color="0891B2" w:sz="6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891B2"/>
                <w:sz w:val="17"/>
                <w:szCs w:val="17"/>
              </w:rPr>
              <w:t xml:space="preserve">CDP Facilitator (verify + settle)</w:t>
            </w:r>
          </w:p>
        </w:tc>
        <w:tc>
          <w:tcPr>
            <w:tcBorders>
              <w:top w:val="single" w:color="0891B2" w:sz="6"/>
              <w:left w:val="single" w:color="0891B2" w:sz="6"/>
              <w:bottom w:val="single" w:color="0891B2" w:sz="6"/>
              <w:right w:val="single" w:color="0891B2" w:sz="6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891B2"/>
                <w:sz w:val="17"/>
                <w:szCs w:val="17"/>
              </w:rPr>
              <w:t xml:space="preserve">→</w:t>
            </w:r>
          </w:p>
        </w:tc>
        <w:tc>
          <w:tcPr>
            <w:tcBorders>
              <w:top w:val="single" w:color="6366F1" w:sz="6"/>
              <w:left w:val="single" w:color="6366F1" w:sz="6"/>
              <w:bottom w:val="single" w:color="6366F1" w:sz="6"/>
              <w:right w:val="single" w:color="6366F1" w:sz="6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338CA"/>
                <w:sz w:val="17"/>
                <w:szCs w:val="17"/>
              </w:rPr>
              <w:t xml:space="preserve">Inference routed</w:t>
            </w:r>
          </w:p>
        </w:tc>
      </w:tr>
    </w:tbl>
    <w:p>
      <w:pPr>
        <w:spacing w:after="0"/>
      </w:pPr>
      <w:r>
        <w:rPr>
          <w:sz w:val="2"/>
          <w:szCs w:val="2"/>
        </w:rPr>
        <w:t xml:space="preserve"/>
      </w:r>
    </w:p>
    <w:p>
      <w:pPr>
        <w:pStyle w:val="Heading2"/>
        <w:spacing w:after="100" w:before="260"/>
      </w:pPr>
      <w:r>
        <w:rPr>
          <w:b/>
          <w:bCs/>
          <w:color w:val="1E1B4B"/>
          <w:sz w:val="24"/>
          <w:szCs w:val="24"/>
        </w:rPr>
        <w:t xml:space="preserve">Trust layer</w:t>
      </w:r>
    </w:p>
    <w:p>
      <w:pPr>
        <w:spacing w:after="160"/>
      </w:pPr>
      <w:r>
        <w:rPr>
          <w:color w:val="2C2B45"/>
          <w:sz w:val="21"/>
          <w:szCs w:val="21"/>
        </w:rPr>
        <w:t xml:space="preserve">Every request produces a receipt; receipts are batched and Merkle-anchored on-chain (LmxLogAnchor on Base), with a public proof endpoint. The idea: routing, latency, and cost claims stay cryptographically checkable after the fact — this matters once the buyer is an anonymous agent with no relationship to fall back on.</w:t>
      </w:r>
    </w:p>
    <w:p>
      <w:pPr>
        <w:pStyle w:val="Heading1"/>
        <w:pBdr>
          <w:bottom w:val="single" w:color="6366F1" w:sz="6" w:space="6"/>
        </w:pBdr>
        <w:spacing w:after="160" w:before="420"/>
      </w:pPr>
      <w:r>
        <w:rPr>
          <w:b/>
          <w:bCs/>
          <w:color w:val="4338CA"/>
          <w:sz w:val="30"/>
          <w:szCs w:val="30"/>
        </w:rPr>
        <w:t xml:space="preserve">06 · Distribution — How An Agent Actually Finds Us</w:t>
      </w:r>
    </w:p>
    <w:p>
      <w:pPr>
        <w:spacing w:after="200"/>
      </w:pPr>
      <w:r>
        <w:rPr>
          <w:i/>
          <w:iCs/>
          <w:color w:val="5B5A78"/>
          <w:sz w:val="21"/>
          <w:szCs w:val="21"/>
        </w:rPr>
        <w:t xml:space="preserve">Three channels, deliberately sequenced by integration effort and reach.</w:t>
      </w:r>
    </w:p>
    <w:tbl>
      <w:tblPr>
        <w:tblW w:type="pct" w:w="100%"/>
        <w:tblBorders>
          <w:top w:val="single" w:color="E6E4F2" w:sz="4"/>
          <w:left w:val="single" w:color="E6E4F2" w:sz="4"/>
          <w:bottom w:val="single" w:color="E6E4F2" w:sz="4"/>
          <w:right w:val="single" w:color="E6E4F2" w:sz="4"/>
          <w:insideH w:val="single" w:color="E6E4F2" w:sz="4"/>
          <w:insideV w:val="single" w:color="E6E4F2" w:sz="4"/>
        </w:tblBorders>
      </w:tblPr>
      <w:tblGrid>
        <w:gridCol w:w="2600"/>
        <w:gridCol w:w="4800"/>
        <w:gridCol w:w="2000"/>
      </w:tblGrid>
      <w:tr>
        <w:trPr>
          <w:tblHeader/>
        </w:trPr>
        <w:tc>
          <w:tcPr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Channel</w:t>
            </w:r>
          </w:p>
        </w:tc>
        <w:tc>
          <w:tcPr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What it is</w:t>
            </w:r>
          </w:p>
        </w:tc>
        <w:tc>
          <w:tcPr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1B1A2E"/>
                <w:sz w:val="18"/>
                <w:szCs w:val="18"/>
              </w:rPr>
              <w:t xml:space="preserve">x402 Bazaar + Agentic.Market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color w:val="454363"/>
                <w:sz w:val="17"/>
                <w:szCs w:val="17"/>
              </w:rPr>
              <w:t xml:space="preserve">Coinbase's protocol-level discovery layer for x402-paid services — any x402 agent finds LMX here regardless of framework. Widest reach, least integration.</w:t>
            </w:r>
          </w:p>
        </w:tc>
        <w:tc>
          <w:tcPr>
            <w:shd w:fill="E6F7E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0F9D68"/>
                <w:sz w:val="16"/>
                <w:szCs w:val="16"/>
              </w:rPr>
              <w:t xml:space="preserve">Live — mainnet verified</w:t>
            </w:r>
          </w:p>
        </w:tc>
      </w:tr>
      <w:t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1B1A2E"/>
                <w:sz w:val="18"/>
                <w:szCs w:val="18"/>
              </w:rPr>
              <w:t xml:space="preserve">MCP server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color w:val="454363"/>
                <w:sz w:val="17"/>
                <w:szCs w:val="17"/>
              </w:rPr>
              <w:t xml:space="preserve">Hosted at mcp.lmxcloud.io, listed on the official MCP Registry. 8 tools: status, models, pricing, balance, usage, chat completion (key or x402), web search.</w:t>
            </w:r>
          </w:p>
        </w:tc>
        <w:tc>
          <w:tcPr>
            <w:shd w:fill="E6F7E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0F9D68"/>
                <w:sz w:val="16"/>
                <w:szCs w:val="16"/>
              </w:rPr>
              <w:t xml:space="preserve">Shipped &amp; listed</w:t>
            </w:r>
          </w:p>
        </w:tc>
      </w:tr>
      <w:t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1B1A2E"/>
                <w:sz w:val="18"/>
                <w:szCs w:val="18"/>
              </w:rPr>
              <w:t xml:space="preserve">ElizaOS plugin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color w:val="454363"/>
                <w:sz w:val="17"/>
                <w:szCs w:val="17"/>
              </w:rPr>
              <w:t xml:space="preserve">Wraps the OpenAI-compatible endpoint with x402-only, wallet-native payment — no API key. Published to npm; registry PR open. Deliberately sequenced last as a reference case study.</w:t>
            </w:r>
          </w:p>
        </w:tc>
        <w:tc>
          <w:tcPr>
            <w:shd w:fill="FDF3D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B7791F"/>
                <w:sz w:val="16"/>
                <w:szCs w:val="16"/>
              </w:rPr>
              <w:t xml:space="preserve">PR open</w:t>
            </w:r>
          </w:p>
        </w:tc>
      </w:tr>
    </w:tbl>
    <w:p>
      <w:pPr>
        <w:spacing w:after="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i/>
          <w:iCs/>
          <w:color w:val="5B5A78"/>
          <w:sz w:val="17"/>
          <w:szCs w:val="17"/>
        </w:rPr>
        <w:t xml:space="preserve">Explicitly out of scope for now: Virtuals Protocol's Agent Commerce Protocol (bespoke escrow system, not confirmed to run over x402), Autonolas, Fetch.ai, Bittensor — longer-tail, revisit once the three committed channels show real traffic.</w:t>
      </w:r>
    </w:p>
    <w:p>
      <w:pPr>
        <w:pStyle w:val="Heading1"/>
        <w:pBdr>
          <w:bottom w:val="single" w:color="6366F1" w:sz="6" w:space="6"/>
        </w:pBdr>
        <w:spacing w:after="160" w:before="420"/>
      </w:pPr>
      <w:r>
        <w:rPr>
          <w:b/>
          <w:bCs/>
          <w:color w:val="4338CA"/>
          <w:sz w:val="30"/>
          <w:szCs w:val="30"/>
        </w:rPr>
        <w:t xml:space="preserve">07 · Status Snapshot</w:t>
      </w:r>
    </w:p>
    <w:p>
      <w:pPr>
        <w:spacing w:after="200"/>
      </w:pPr>
      <w:r>
        <w:rPr>
          <w:i/>
          <w:iCs/>
          <w:color w:val="5B5A78"/>
          <w:sz w:val="21"/>
          <w:szCs w:val="21"/>
        </w:rPr>
        <w:t xml:space="preserve">As of July 20, 2026 — verified against code, not memory.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00"/>
        <w:gridCol w:w="4700"/>
      </w:tblGrid>
      <w:tr>
        <w:tc>
          <w:tcPr>
            <w:tcW w:type="pct" w:w="50%"/>
            <w:tcBorders>
              <w:top w:val="single" w:color="E6E4F2" w:sz="4"/>
              <w:left w:val="single" w:color="E6E4F2" w:sz="4"/>
              <w:bottom w:val="single" w:color="E6E4F2" w:sz="4"/>
              <w:right w:val="single" w:color="E6E4F2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color w:val="0F9D68"/>
                <w:sz w:val="19"/>
                <w:szCs w:val="19"/>
              </w:rPr>
              <w:t xml:space="preserve">SHIPPED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b/>
                <w:bCs/>
                <w:color w:val="1B1A2E"/>
                <w:sz w:val="18"/>
                <w:szCs w:val="18"/>
              </w:rPr>
              <w:t xml:space="preserve"/>
            </w:r>
            <w:r>
              <w:rPr>
                <w:color w:val="454363"/>
                <w:sz w:val="18"/>
                <w:szCs w:val="18"/>
              </w:rPr>
              <w:t xml:space="preserve">Multi-provider inference router, streaming completions, 30 model aliases.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b/>
                <w:bCs/>
                <w:color w:val="1B1A2E"/>
                <w:sz w:val="18"/>
                <w:szCs w:val="18"/>
              </w:rPr>
              <w:t xml:space="preserve"/>
            </w:r>
            <w:r>
              <w:rPr>
                <w:color w:val="454363"/>
                <w:sz w:val="18"/>
                <w:szCs w:val="18"/>
              </w:rPr>
              <w:t xml:space="preserve">Full dashboard — keys, usage, logs, status, billing.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b/>
                <w:bCs/>
                <w:color w:val="1B1A2E"/>
                <w:sz w:val="18"/>
                <w:szCs w:val="18"/>
              </w:rPr>
              <w:t xml:space="preserve"/>
            </w:r>
            <w:r>
              <w:rPr>
                <w:color w:val="454363"/>
                <w:sz w:val="18"/>
                <w:szCs w:val="18"/>
              </w:rPr>
              <w:t xml:space="preserve">SIWE wallet sign-in + agent-mintable keys.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b/>
                <w:bCs/>
                <w:color w:val="1B1A2E"/>
                <w:sz w:val="18"/>
                <w:szCs w:val="18"/>
              </w:rPr>
              <w:t xml:space="preserve"/>
            </w:r>
            <w:r>
              <w:rPr>
                <w:color w:val="454363"/>
                <w:sz w:val="18"/>
                <w:szCs w:val="18"/>
              </w:rPr>
              <w:t xml:space="preserve">USDC deposits on Base, auto-crediting.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b/>
                <w:bCs/>
                <w:color w:val="1B1A2E"/>
                <w:sz w:val="18"/>
                <w:szCs w:val="18"/>
              </w:rPr>
              <w:t xml:space="preserve"/>
            </w:r>
            <w:r>
              <w:rPr>
                <w:color w:val="454363"/>
                <w:sz w:val="18"/>
                <w:szCs w:val="18"/>
              </w:rPr>
              <w:t xml:space="preserve">Verifiable on-chain receipts &amp; Merkle anchoring.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b/>
                <w:bCs/>
                <w:color w:val="1B1A2E"/>
                <w:sz w:val="18"/>
                <w:szCs w:val="18"/>
              </w:rPr>
              <w:t xml:space="preserve"/>
            </w:r>
            <w:r>
              <w:rPr>
                <w:color w:val="454363"/>
                <w:sz w:val="18"/>
                <w:szCs w:val="18"/>
              </w:rPr>
              <w:t xml:space="preserve">x402 pay-per-call verified end-to-end on mainnet.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b/>
                <w:bCs/>
                <w:color w:val="1B1A2E"/>
                <w:sz w:val="18"/>
                <w:szCs w:val="18"/>
              </w:rPr>
              <w:t xml:space="preserve"/>
            </w:r>
            <w:r>
              <w:rPr>
                <w:color w:val="454363"/>
                <w:sz w:val="18"/>
                <w:szCs w:val="18"/>
              </w:rPr>
              <w:t xml:space="preserve">MCP server live on the official registry.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b/>
                <w:bCs/>
                <w:color w:val="1B1A2E"/>
                <w:sz w:val="18"/>
                <w:szCs w:val="18"/>
              </w:rPr>
              <w:t xml:space="preserve"/>
            </w:r>
            <w:r>
              <w:rPr>
                <w:color w:val="454363"/>
                <w:sz w:val="18"/>
                <w:szCs w:val="18"/>
              </w:rPr>
              <w:t xml:space="preserve">Security/ops hardening — account-takeover route closed, rate limits, Sentry.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b/>
                <w:bCs/>
                <w:color w:val="1B1A2E"/>
                <w:sz w:val="18"/>
                <w:szCs w:val="18"/>
              </w:rPr>
              <w:t xml:space="preserve"/>
            </w:r>
            <w:r>
              <w:rPr>
                <w:color w:val="454363"/>
                <w:sz w:val="18"/>
                <w:szCs w:val="18"/>
              </w:rPr>
              <w:t xml:space="preserve">Persisted three-tier provider health history.</w:t>
            </w:r>
          </w:p>
        </w:tc>
        <w:tc>
          <w:tcPr>
            <w:tcW w:type="pct" w:w="50%"/>
            <w:tcBorders>
              <w:top w:val="single" w:color="E6E4F2" w:sz="4"/>
              <w:left w:val="single" w:color="E6E4F2" w:sz="4"/>
              <w:bottom w:val="single" w:color="E6E4F2" w:sz="4"/>
              <w:right w:val="single" w:color="E6E4F2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OPEN / BLOCKING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b/>
                <w:bCs/>
                <w:color w:val="1B1A2E"/>
                <w:sz w:val="18"/>
                <w:szCs w:val="18"/>
              </w:rPr>
              <w:t xml:space="preserve"/>
            </w:r>
            <w:r>
              <w:rPr>
                <w:color w:val="454363"/>
                <w:sz w:val="18"/>
                <w:szCs w:val="18"/>
              </w:rPr>
              <w:t xml:space="preserve">Attorney review of legal drafts (ToS, privacy, acceptable use) — deferred three times, the longest-standing gate before marketing any channel wide.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b/>
                <w:bCs/>
                <w:color w:val="1B1A2E"/>
                <w:sz w:val="18"/>
                <w:szCs w:val="18"/>
              </w:rPr>
              <w:t xml:space="preserve"/>
            </w:r>
            <w:r>
              <w:rPr>
                <w:color w:val="454363"/>
                <w:sz w:val="18"/>
                <w:szCs w:val="18"/>
              </w:rPr>
              <w:t xml:space="preserve">Payment-failure reconciliation — no refund tx when a provider fails post-payment.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b/>
                <w:bCs/>
                <w:color w:val="1B1A2E"/>
                <w:sz w:val="18"/>
                <w:szCs w:val="18"/>
              </w:rPr>
              <w:t xml:space="preserve"/>
            </w:r>
            <w:r>
              <w:rPr>
                <w:color w:val="454363"/>
                <w:sz w:val="18"/>
                <w:szCs w:val="18"/>
              </w:rPr>
              <w:t xml:space="preserve">ElizaOS live-agent end-to-end test not yet started.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b/>
                <w:bCs/>
                <w:color w:val="1B1A2E"/>
                <w:sz w:val="18"/>
                <w:szCs w:val="18"/>
              </w:rPr>
              <w:t xml:space="preserve"/>
            </w:r>
            <w:r>
              <w:rPr>
                <w:color w:val="454363"/>
                <w:sz w:val="18"/>
                <w:szCs w:val="18"/>
              </w:rPr>
              <w:t xml:space="preserve">Cloudflare edge hardening deliberately paused — cost, no traffic signal yet.</w:t>
            </w:r>
          </w:p>
        </w:tc>
      </w:tr>
    </w:tbl>
    <w:p>
      <w:pPr>
        <w:pStyle w:val="Heading1"/>
        <w:pBdr>
          <w:bottom w:val="single" w:color="6366F1" w:sz="6" w:space="6"/>
        </w:pBdr>
        <w:spacing w:after="160" w:before="420"/>
      </w:pPr>
      <w:r>
        <w:rPr>
          <w:b/>
          <w:bCs/>
          <w:color w:val="4338CA"/>
          <w:sz w:val="30"/>
          <w:szCs w:val="30"/>
        </w:rPr>
        <w:t xml:space="preserve">08 · Roadmap</w:t>
      </w:r>
    </w:p>
    <w:p>
      <w:pPr>
        <w:spacing w:after="200"/>
      </w:pPr>
      <w:r>
        <w:rPr>
          <w:i/>
          <w:iCs/>
          <w:color w:val="5B5A78"/>
          <w:sz w:val="21"/>
          <w:szCs w:val="21"/>
        </w:rPr>
        <w:t xml:space="preserve">Phase 1 is agent-distribution readiness. Phase 2 is deliberately held.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400"/>
      </w:tblGrid>
      <w:tr>
        <w:tc>
          <w:tcPr>
            <w:tcBorders>
              <w:top w:val="single" w:color="E6E4F2" w:sz="4"/>
              <w:left w:val="single" w:color="0F9D68" w:sz="20"/>
              <w:bottom w:val="single" w:color="E6E4F2" w:sz="4"/>
              <w:right w:val="single" w:color="E6E4F2" w:sz="4"/>
            </w:tcBorders>
            <w:shd w:fill="FFFFFF" w:val="clear"/>
            <w:tcMar>
              <w:top w:type="dxa" w:w="10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B1A2E"/>
                <w:sz w:val="20"/>
                <w:szCs w:val="20"/>
              </w:rPr>
              <w:t xml:space="preserve">Free-beta hardening   </w:t>
            </w:r>
            <w:r>
              <w:rPr>
                <w:b/>
                <w:bCs/>
                <w:color w:val="0F9D68"/>
                <w:sz w:val="14"/>
                <w:szCs w:val="14"/>
              </w:rPr>
              <w:t xml:space="preserve">DONE</w:t>
            </w:r>
          </w:p>
          <w:p>
            <w:r>
              <w:rPr>
                <w:color w:val="4B4A68"/>
                <w:sz w:val="18"/>
                <w:szCs w:val="18"/>
              </w:rPr>
              <w:t xml:space="preserve">Security gap closed, dashboard shipped, streaming + model coverage expanded — the base layer strangers could safely try for free.</w:t>
            </w:r>
          </w:p>
        </w:tc>
      </w:tr>
    </w:tbl>
    <w:p>
      <w:pPr>
        <w:spacing w:after="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400"/>
      </w:tblGrid>
      <w:tr>
        <w:tc>
          <w:tcPr>
            <w:tcBorders>
              <w:top w:val="single" w:color="E6E4F2" w:sz="4"/>
              <w:left w:val="single" w:color="0F9D68" w:sz="20"/>
              <w:bottom w:val="single" w:color="E6E4F2" w:sz="4"/>
              <w:right w:val="single" w:color="E6E4F2" w:sz="4"/>
            </w:tcBorders>
            <w:shd w:fill="FFFFFF" w:val="clear"/>
            <w:tcMar>
              <w:top w:type="dxa" w:w="10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B1A2E"/>
                <w:sz w:val="20"/>
                <w:szCs w:val="20"/>
              </w:rPr>
              <w:t xml:space="preserve">Web3-1 · Wallet identity + stablecoin rails   </w:t>
            </w:r>
            <w:r>
              <w:rPr>
                <w:b/>
                <w:bCs/>
                <w:color w:val="0F9D68"/>
                <w:sz w:val="14"/>
                <w:szCs w:val="14"/>
              </w:rPr>
              <w:t xml:space="preserve">DONE</w:t>
            </w:r>
          </w:p>
          <w:p>
            <w:r>
              <w:rPr>
                <w:color w:val="4B4A68"/>
                <w:sz w:val="18"/>
                <w:szCs w:val="18"/>
              </w:rPr>
              <w:t xml:space="preserve">SIWE sign-in, agent-mintable keys with no browser, USDC deposits auto-crediting on Base.</w:t>
            </w:r>
          </w:p>
        </w:tc>
      </w:tr>
    </w:tbl>
    <w:p>
      <w:pPr>
        <w:spacing w:after="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400"/>
      </w:tblGrid>
      <w:tr>
        <w:tc>
          <w:tcPr>
            <w:tcBorders>
              <w:top w:val="single" w:color="E6E4F2" w:sz="4"/>
              <w:left w:val="single" w:color="0F9D68" w:sz="20"/>
              <w:bottom w:val="single" w:color="E6E4F2" w:sz="4"/>
              <w:right w:val="single" w:color="E6E4F2" w:sz="4"/>
            </w:tcBorders>
            <w:shd w:fill="FFFFFF" w:val="clear"/>
            <w:tcMar>
              <w:top w:type="dxa" w:w="10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B1A2E"/>
                <w:sz w:val="20"/>
                <w:szCs w:val="20"/>
              </w:rPr>
              <w:t xml:space="preserve">Web3-2 · Verifiable on-chain logs   </w:t>
            </w:r>
            <w:r>
              <w:rPr>
                <w:b/>
                <w:bCs/>
                <w:color w:val="0F9D68"/>
                <w:sz w:val="14"/>
                <w:szCs w:val="14"/>
              </w:rPr>
              <w:t xml:space="preserve">DONE</w:t>
            </w:r>
          </w:p>
          <w:p>
            <w:r>
              <w:rPr>
                <w:color w:val="4B4A68"/>
                <w:sz w:val="18"/>
                <w:szCs w:val="18"/>
              </w:rPr>
              <w:t xml:space="preserve">Per-request receipts, Merkle batch anchoring, public proof endpoint — verified end-to-end.</w:t>
            </w:r>
          </w:p>
        </w:tc>
      </w:tr>
    </w:tbl>
    <w:p>
      <w:pPr>
        <w:spacing w:after="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400"/>
      </w:tblGrid>
      <w:tr>
        <w:tc>
          <w:tcPr>
            <w:tcBorders>
              <w:top w:val="single" w:color="E6E4F2" w:sz="4"/>
              <w:left w:val="single" w:color="0F9D68" w:sz="20"/>
              <w:bottom w:val="single" w:color="E6E4F2" w:sz="4"/>
              <w:right w:val="single" w:color="E6E4F2" w:sz="4"/>
            </w:tcBorders>
            <w:shd w:fill="FFFFFF" w:val="clear"/>
            <w:tcMar>
              <w:top w:type="dxa" w:w="10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B1A2E"/>
                <w:sz w:val="20"/>
                <w:szCs w:val="20"/>
              </w:rPr>
              <w:t xml:space="preserve">x402 pay-per-call   </w:t>
            </w:r>
            <w:r>
              <w:rPr>
                <w:b/>
                <w:bCs/>
                <w:color w:val="0F9D68"/>
                <w:sz w:val="14"/>
                <w:szCs w:val="14"/>
              </w:rPr>
              <w:t xml:space="preserve">DONE</w:t>
            </w:r>
          </w:p>
          <w:p>
            <w:r>
              <w:rPr>
                <w:color w:val="4B4A68"/>
                <w:sz w:val="18"/>
                <w:szCs w:val="18"/>
              </w:rPr>
              <w:t xml:space="preserve">Dual-path payments, CDP Facilitator verify/settle, replay protection, burst/load-tested on testnet, mainnet canary green.</w:t>
            </w:r>
          </w:p>
        </w:tc>
      </w:tr>
    </w:tbl>
    <w:p>
      <w:pPr>
        <w:spacing w:after="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400"/>
      </w:tblGrid>
      <w:tr>
        <w:tc>
          <w:tcPr>
            <w:tcBorders>
              <w:top w:val="single" w:color="E6E4F2" w:sz="4"/>
              <w:left w:val="single" w:color="B7791F" w:sz="20"/>
              <w:bottom w:val="single" w:color="E6E4F2" w:sz="4"/>
              <w:right w:val="single" w:color="E6E4F2" w:sz="4"/>
            </w:tcBorders>
            <w:shd w:fill="FFFFFF" w:val="clear"/>
            <w:tcMar>
              <w:top w:type="dxa" w:w="10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B1A2E"/>
                <w:sz w:val="20"/>
                <w:szCs w:val="20"/>
              </w:rPr>
              <w:t xml:space="preserve">Phase 1 · Agent distribution   </w:t>
            </w:r>
            <w:r>
              <w:rPr>
                <w:b/>
                <w:bCs/>
                <w:color w:val="B7791F"/>
                <w:sz w:val="14"/>
                <w:szCs w:val="14"/>
              </w:rPr>
              <w:t xml:space="preserve">IN PROGRESS</w:t>
            </w:r>
          </w:p>
          <w:p>
            <w:r>
              <w:rPr>
                <w:color w:val="4B4A68"/>
                <w:sz w:val="18"/>
                <w:szCs w:val="18"/>
              </w:rPr>
              <w:t xml:space="preserve">Bazaar/Agentic.Market listing live; MCP registry live; ElizaOS registry PR open, security hardening pushed same-day per reviewer feedback. Gated wide-marketing push on attorney review.</w:t>
            </w:r>
          </w:p>
        </w:tc>
      </w:tr>
    </w:tbl>
    <w:p>
      <w:pPr>
        <w:spacing w:after="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400"/>
      </w:tblGrid>
      <w:tr>
        <w:tc>
          <w:tcPr>
            <w:tcBorders>
              <w:top w:val="single" w:color="E6E4F2" w:sz="4"/>
              <w:left w:val="single" w:color="64748B" w:sz="20"/>
              <w:bottom w:val="single" w:color="E6E4F2" w:sz="4"/>
              <w:right w:val="single" w:color="E6E4F2" w:sz="4"/>
            </w:tcBorders>
            <w:shd w:fill="FFFFFF" w:val="clear"/>
            <w:tcMar>
              <w:top w:type="dxa" w:w="10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B1A2E"/>
                <w:sz w:val="20"/>
                <w:szCs w:val="20"/>
              </w:rPr>
              <w:t xml:space="preserve">Phase 2 · Marketplace / MCP function registry   </w:t>
            </w:r>
            <w:r>
              <w:rPr>
                <w:b/>
                <w:bCs/>
                <w:color w:val="64748B"/>
                <w:sz w:val="14"/>
                <w:szCs w:val="14"/>
              </w:rPr>
              <w:t xml:space="preserve">DELIBERATELY HELD</w:t>
            </w:r>
          </w:p>
          <w:p>
            <w:r>
              <w:rPr>
                <w:color w:val="4B4A68"/>
                <w:sz w:val="18"/>
                <w:szCs w:val="18"/>
              </w:rPr>
              <w:t xml:space="preserve">Held until legal clears and at least one Phase 1 channel produces a real, unprompted external payment — the explicit success signal, not yet observed. Provider-depth is prioritized over resource-breadth in the meantime.</w:t>
            </w:r>
          </w:p>
        </w:tc>
      </w:tr>
    </w:tbl>
    <w:p>
      <w:pPr>
        <w:spacing w:after="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6366F1" w:sz="6" w:space="6"/>
        </w:pBdr>
        <w:spacing w:after="160" w:before="420"/>
      </w:pPr>
      <w:r>
        <w:rPr>
          <w:b/>
          <w:bCs/>
          <w:color w:val="4338CA"/>
          <w:sz w:val="30"/>
          <w:szCs w:val="30"/>
        </w:rPr>
        <w:t xml:space="preserve">09 · Moats &amp; Risks</w:t>
      </w:r>
    </w:p>
    <w:p>
      <w:pPr>
        <w:spacing w:after="200"/>
      </w:pPr>
      <w:r>
        <w:rPr>
          <w:i/>
          <w:iCs/>
          <w:color w:val="5B5A78"/>
          <w:sz w:val="21"/>
          <w:szCs w:val="21"/>
        </w:rPr>
        <w:t xml:space="preserve">Honest accounting — what's actually defensible versus what looks like a moat but isn't.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00"/>
        <w:gridCol w:w="4700"/>
      </w:tblGrid>
      <w:tr>
        <w:tc>
          <w:tcPr>
            <w:tcW w:type="pct" w:w="50%"/>
            <w:tcBorders>
              <w:top w:val="single" w:color="E6E4F2" w:sz="4"/>
              <w:left w:val="single" w:color="E6E4F2" w:sz="4"/>
              <w:bottom w:val="single" w:color="E6E4F2" w:sz="4"/>
              <w:right w:val="single" w:color="E6E4F2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color w:val="0F9D68"/>
                <w:sz w:val="19"/>
                <w:szCs w:val="19"/>
              </w:rPr>
              <w:t xml:space="preserve">WHAT'S DEFENSIBLE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b/>
                <w:bCs/>
                <w:color w:val="1B1A2E"/>
                <w:sz w:val="18"/>
                <w:szCs w:val="18"/>
              </w:rPr>
              <w:t xml:space="preserve">Verifiable trust layer — </w:t>
            </w:r>
            <w:r>
              <w:rPr>
                <w:color w:val="454363"/>
                <w:sz w:val="18"/>
                <w:szCs w:val="18"/>
              </w:rPr>
              <w:t xml:space="preserve">on-chain receipt anchoring is live and working today — matters specifically once the buyer is an anonymous agent with no relationship to fall back 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b/>
                <w:bCs/>
                <w:color w:val="1B1A2E"/>
                <w:sz w:val="18"/>
                <w:szCs w:val="18"/>
              </w:rPr>
              <w:t xml:space="preserve">Measured reliability data — </w:t>
            </w:r>
            <w:r>
              <w:rPr>
                <w:color w:val="454363"/>
                <w:sz w:val="18"/>
                <w:szCs w:val="18"/>
              </w:rPr>
              <w:t xml:space="preserve">persisted provider-health history across independent DePIN networks becomes a genuine, hard-to-fake content asset once it has weeks of depth — no competitor currently publishes this.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b/>
                <w:bCs/>
                <w:color w:val="1B1A2E"/>
                <w:sz w:val="18"/>
                <w:szCs w:val="18"/>
              </w:rPr>
              <w:t xml:space="preserve">Distribution head start — </w:t>
            </w:r>
            <w:r>
              <w:rPr>
                <w:color w:val="454363"/>
                <w:sz w:val="18"/>
                <w:szCs w:val="18"/>
              </w:rPr>
              <w:t xml:space="preserve">live on the official MCP registry and x402 Bazaar with a real mainnet-settled transaction history and an honest public case study (the MCP "stranger walkthrough" bug story).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b/>
                <w:bCs/>
                <w:color w:val="1B1A2E"/>
                <w:sz w:val="18"/>
                <w:szCs w:val="18"/>
              </w:rPr>
              <w:t xml:space="preserve">The wedge itself — </w:t>
            </w:r>
            <w:r>
              <w:rPr>
                <w:color w:val="454363"/>
                <w:sz w:val="18"/>
                <w:szCs w:val="18"/>
              </w:rPr>
              <w:t xml:space="preserve">hyperscalers have no margin incentive to route to decentralized supply; DAOs/agents structurally can't use hyperscaler billing. That combination, not "decentralization," is the actual defensible position.</w:t>
            </w:r>
          </w:p>
        </w:tc>
        <w:tc>
          <w:tcPr>
            <w:tcW w:type="pct" w:w="50%"/>
            <w:tcBorders>
              <w:top w:val="single" w:color="E6E4F2" w:sz="4"/>
              <w:left w:val="single" w:color="E6E4F2" w:sz="4"/>
              <w:bottom w:val="single" w:color="E6E4F2" w:sz="4"/>
              <w:right w:val="single" w:color="E6E4F2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WHAT ISN'T A MOAT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b/>
                <w:bCs/>
                <w:color w:val="1B1A2E"/>
                <w:sz w:val="18"/>
                <w:szCs w:val="18"/>
              </w:rPr>
              <w:t xml:space="preserve">The payment rail itself — </w:t>
            </w:r>
            <w:r>
              <w:rPr>
                <w:color w:val="454363"/>
                <w:sz w:val="18"/>
                <w:szCs w:val="18"/>
              </w:rPr>
              <w:t xml:space="preserve">x402 is an open standard — nothing stops io.net or Akash from adding direct support and disintermediating an aggregator layer like LMX.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b/>
                <w:bCs/>
                <w:color w:val="1B1A2E"/>
                <w:sz w:val="18"/>
                <w:szCs w:val="18"/>
              </w:rPr>
              <w:t xml:space="preserve">Thin, lumpy demand — </w:t>
            </w:r>
            <w:r>
              <w:rPr>
                <w:color w:val="454363"/>
                <w:sz w:val="18"/>
                <w:szCs w:val="18"/>
              </w:rPr>
              <w:t xml:space="preserve">a meaningful share of early x402 activity industry-wide has come from one viral memecoin experiment, not organic diverse demand.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b/>
                <w:bCs/>
                <w:color w:val="1B1A2E"/>
                <w:sz w:val="18"/>
                <w:szCs w:val="18"/>
              </w:rPr>
              <w:t xml:space="preserve">Underlying DePIN health — </w:t>
            </w:r>
            <w:r>
              <w:rPr>
                <w:color w:val="454363"/>
                <w:sz w:val="18"/>
                <w:szCs w:val="18"/>
              </w:rPr>
              <w:t xml:space="preserve">the resilience pitch depends on DePIN supply staying healthy — Akash's active provider count is at its lowest point on record.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b/>
                <w:bCs/>
                <w:color w:val="1B1A2E"/>
                <w:sz w:val="18"/>
                <w:szCs w:val="18"/>
              </w:rPr>
              <w:t xml:space="preserve">Provider concentration — </w:t>
            </w:r>
            <w:r>
              <w:rPr>
                <w:color w:val="454363"/>
                <w:sz w:val="18"/>
                <w:szCs w:val="18"/>
              </w:rPr>
              <w:t xml:space="preserve">only two DePIN providers live in production today; "resource-agnostic routing" isn't a real claim yet without more provider depth.</w:t>
            </w:r>
          </w:p>
        </w:tc>
      </w:tr>
    </w:tbl>
    <w:p>
      <w:pPr>
        <w:spacing w:after="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none" w:color="FFFFFF" w:sz="0"/>
          <w:left w:val="none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single" w:color="FBE9E7" w:sz="2"/>
              <w:left w:val="single" w:color="C0392B" w:sz="24"/>
              <w:bottom w:val="single" w:color="FBE9E7" w:sz="2"/>
              <w:right w:val="single" w:color="FBE9E7" w:sz="2"/>
            </w:tcBorders>
            <w:shd w:fill="FBE9E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b/>
                <w:bCs/>
                <w:color w:val="C0392B"/>
                <w:sz w:val="17"/>
                <w:szCs w:val="17"/>
              </w:rPr>
              <w:t xml:space="preserve">WHY THIS MATTERS  </w:t>
            </w:r>
            <w:r>
              <w:rPr>
                <w:color w:val="2C2B45"/>
                <w:sz w:val="20"/>
                <w:szCs w:val="20"/>
              </w:rPr>
              <w:t xml:space="preserve">none of the above are reasons to not pursue the bet — they're the specific signals that would tell us early if it isn't working. That's why Phase 2 is explicitly gated on a real unprompted external payment, not a feature checklist.</w:t>
            </w:r>
          </w:p>
        </w:tc>
      </w:tr>
    </w:tbl>
    <w:p>
      <w:pPr>
        <w:pBdr>
          <w:top w:val="single" w:color="E6E4F2" w:sz="4" w:space="8"/>
        </w:pBdr>
        <w:spacing w:before="400"/>
        <w:jc w:val="center"/>
      </w:pPr>
      <w:r>
        <w:rPr>
          <w:i/>
          <w:iCs/>
          <w:color w:val="5B5A78"/>
          <w:sz w:val="16"/>
          <w:szCs w:val="16"/>
        </w:rPr>
        <w:t xml:space="preserve">LMX Cloud — internal primer, sourced from PRIMER.md / README.md / ROADMAP.md / marketing.md. Live for the current execution detail: ROADMAP.md.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2026-07-20T19:22:35.084Z</dcterms:created>
  <dcterms:modified xsi:type="dcterms:W3CDTF">2026-07-20T19:22:35.101Z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