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F4D78"/>
          <w:sz w:val="48"/>
        </w:rPr>
        <w:t>Checklist de Control del Proyecto SSA</w:t>
      </w:r>
    </w:p>
    <w:p>
      <w:r>
        <w:rPr>
          <w:color w:val="5A5A5A"/>
          <w:sz w:val="24"/>
        </w:rPr>
        <w:t>Plataforma de Gestión, Comunicación y Educación para la Salud</w:t>
        <w:br/>
        <w:t>Jurisdicción Sanitaria de Huejutla de Reyes, Hidalgo</w:t>
      </w:r>
    </w:p>
    <w:p>
      <w:r>
        <w:t>Versión 2.0 · Cierre de auditoría y actualización integral · 2026-07-16</w:t>
      </w:r>
    </w:p>
    <w:p>
      <w:pPr>
        <w:pStyle w:val="Heading1"/>
      </w:pPr>
      <w:r>
        <w:t>Dictamen ejecutivo</w:t>
      </w:r>
    </w:p>
    <w:p>
      <w:r>
        <w:t>La baseline documental, los slices 0–13 de implementación y los bloques 0–7 de remediación de auditoría se encuentran cerrados para el alcance vigente del MVP. El sistema cuenta con gestión editorial, fuentes, validaciones, publicación institucional, consulta pública, multimedia, clasificación, línea del tiempo, canales, trazabilidad, seguridad de sesión y preparación DevOps.</w:t>
      </w:r>
    </w:p>
    <w:p>
      <w:r>
        <w:t>Las capacidades de configuración básica del sitio, banners y menús fueron diferidas explícitamente fuera del MVP actual. IA/RAG, roles avanzados, integración real automatizada con redes sociales y despliegue productivo siguen fuera de alcance hasta recibir una nueva autorización.</w:t>
      </w:r>
    </w:p>
    <w:p>
      <w:pPr>
        <w:pStyle w:val="Heading1"/>
      </w:pPr>
      <w:r>
        <w:t>Semáforo actual</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300"/>
            <w:tcMar>
              <w:top w:w="80" w:type="dxa"/>
              <w:start w:w="120" w:type="dxa"/>
              <w:bottom w:w="80" w:type="dxa"/>
              <w:end w:w="120" w:type="dxa"/>
            </w:tcMar>
            <w:shd w:fill="F2F4F7"/>
            <w:vAlign w:val="center"/>
          </w:tcPr>
          <w:p>
            <w:r>
              <w:rPr>
                <w:b/>
                <w:sz w:val="18"/>
              </w:rPr>
              <w:t>Estado</w:t>
            </w:r>
          </w:p>
        </w:tc>
        <w:tc>
          <w:tcPr>
            <w:tcW w:type="dxa" w:w="3500"/>
            <w:tcMar>
              <w:top w:w="80" w:type="dxa"/>
              <w:start w:w="120" w:type="dxa"/>
              <w:bottom w:w="80" w:type="dxa"/>
              <w:end w:w="120" w:type="dxa"/>
            </w:tcMar>
            <w:shd w:fill="F2F4F7"/>
            <w:vAlign w:val="center"/>
          </w:tcPr>
          <w:p>
            <w:r>
              <w:rPr>
                <w:b/>
                <w:sz w:val="18"/>
              </w:rPr>
              <w:t>Resultado</w:t>
            </w:r>
          </w:p>
        </w:tc>
        <w:tc>
          <w:tcPr>
            <w:tcW w:type="dxa" w:w="4560"/>
            <w:tcMar>
              <w:top w:w="80" w:type="dxa"/>
              <w:start w:w="120" w:type="dxa"/>
              <w:bottom w:w="80" w:type="dxa"/>
              <w:end w:w="120" w:type="dxa"/>
            </w:tcMar>
            <w:shd w:fill="F2F4F7"/>
            <w:vAlign w:val="center"/>
          </w:tcPr>
          <w:p>
            <w:r>
              <w:rPr>
                <w:b/>
                <w:sz w:val="18"/>
              </w:rPr>
              <w:t>Evidencia</w:t>
            </w:r>
          </w:p>
        </w:tc>
      </w:tr>
      <w:tr>
        <w:tc>
          <w:tcPr>
            <w:tcW w:type="dxa" w:w="1300"/>
            <w:tcMar>
              <w:top w:w="80" w:type="dxa"/>
              <w:start w:w="120" w:type="dxa"/>
              <w:bottom w:w="80" w:type="dxa"/>
              <w:end w:w="120" w:type="dxa"/>
            </w:tcMar>
            <w:vAlign w:val="center"/>
          </w:tcPr>
          <w:p>
            <w:r>
              <w:rPr>
                <w:sz w:val="18"/>
              </w:rPr>
              <w:t>VERDE</w:t>
            </w:r>
          </w:p>
        </w:tc>
        <w:tc>
          <w:tcPr>
            <w:tcW w:type="dxa" w:w="3500"/>
            <w:tcMar>
              <w:top w:w="80" w:type="dxa"/>
              <w:start w:w="120" w:type="dxa"/>
              <w:bottom w:w="80" w:type="dxa"/>
              <w:end w:w="120" w:type="dxa"/>
            </w:tcMar>
            <w:vAlign w:val="center"/>
          </w:tcPr>
          <w:p>
            <w:r>
              <w:rPr>
                <w:sz w:val="18"/>
              </w:rPr>
              <w:t>MVP vigente y auditoría completados.</w:t>
            </w:r>
          </w:p>
        </w:tc>
        <w:tc>
          <w:tcPr>
            <w:tcW w:type="dxa" w:w="4560"/>
            <w:tcMar>
              <w:top w:w="80" w:type="dxa"/>
              <w:start w:w="120" w:type="dxa"/>
              <w:bottom w:w="80" w:type="dxa"/>
              <w:end w:w="120" w:type="dxa"/>
            </w:tcMar>
            <w:vAlign w:val="center"/>
          </w:tcPr>
          <w:p>
            <w:r>
              <w:rPr>
                <w:sz w:val="18"/>
              </w:rPr>
              <w:t>Checklist de auditoría, slices 0–13, módulos API/web, ADRs y pruebas.</w:t>
            </w:r>
          </w:p>
        </w:tc>
      </w:tr>
      <w:tr>
        <w:tc>
          <w:tcPr>
            <w:tcW w:type="dxa" w:w="1300"/>
            <w:tcMar>
              <w:top w:w="80" w:type="dxa"/>
              <w:start w:w="120" w:type="dxa"/>
              <w:bottom w:w="80" w:type="dxa"/>
              <w:end w:w="120" w:type="dxa"/>
            </w:tcMar>
            <w:vAlign w:val="center"/>
          </w:tcPr>
          <w:p>
            <w:r>
              <w:rPr>
                <w:sz w:val="18"/>
              </w:rPr>
              <w:t>VERDE</w:t>
            </w:r>
          </w:p>
        </w:tc>
        <w:tc>
          <w:tcPr>
            <w:tcW w:type="dxa" w:w="3500"/>
            <w:tcMar>
              <w:top w:w="80" w:type="dxa"/>
              <w:start w:w="120" w:type="dxa"/>
              <w:bottom w:w="80" w:type="dxa"/>
              <w:end w:w="120" w:type="dxa"/>
            </w:tcMar>
            <w:vAlign w:val="center"/>
          </w:tcPr>
          <w:p>
            <w:r>
              <w:rPr>
                <w:sz w:val="18"/>
              </w:rPr>
              <w:t>Seguridad y calidad verificables.</w:t>
            </w:r>
          </w:p>
        </w:tc>
        <w:tc>
          <w:tcPr>
            <w:tcW w:type="dxa" w:w="4560"/>
            <w:tcMar>
              <w:top w:w="80" w:type="dxa"/>
              <w:start w:w="120" w:type="dxa"/>
              <w:bottom w:w="80" w:type="dxa"/>
              <w:end w:w="120" w:type="dxa"/>
            </w:tcMar>
            <w:vAlign w:val="center"/>
          </w:tcPr>
          <w:p>
            <w:r>
              <w:rPr>
                <w:sz w:val="18"/>
              </w:rPr>
              <w:t>JWT, refresh rotativo e invalidable, DTOs, sanitización, CI y pruebas.</w:t>
            </w:r>
          </w:p>
        </w:tc>
      </w:tr>
      <w:tr>
        <w:tc>
          <w:tcPr>
            <w:tcW w:type="dxa" w:w="1300"/>
            <w:tcMar>
              <w:top w:w="80" w:type="dxa"/>
              <w:start w:w="120" w:type="dxa"/>
              <w:bottom w:w="80" w:type="dxa"/>
              <w:end w:w="120" w:type="dxa"/>
            </w:tcMar>
            <w:vAlign w:val="center"/>
          </w:tcPr>
          <w:p>
            <w:r>
              <w:rPr>
                <w:sz w:val="18"/>
              </w:rPr>
              <w:t>ÁMBAR</w:t>
            </w:r>
          </w:p>
        </w:tc>
        <w:tc>
          <w:tcPr>
            <w:tcW w:type="dxa" w:w="3500"/>
            <w:tcMar>
              <w:top w:w="80" w:type="dxa"/>
              <w:start w:w="120" w:type="dxa"/>
              <w:bottom w:w="80" w:type="dxa"/>
              <w:end w:w="120" w:type="dxa"/>
            </w:tcMar>
            <w:vAlign w:val="center"/>
          </w:tcPr>
          <w:p>
            <w:r>
              <w:rPr>
                <w:sz w:val="18"/>
              </w:rPr>
              <w:t>Capacidades diferidas que requieren nueva decisión.</w:t>
            </w:r>
          </w:p>
        </w:tc>
        <w:tc>
          <w:tcPr>
            <w:tcW w:type="dxa" w:w="4560"/>
            <w:tcMar>
              <w:top w:w="80" w:type="dxa"/>
              <w:start w:w="120" w:type="dxa"/>
              <w:bottom w:w="80" w:type="dxa"/>
              <w:end w:w="120" w:type="dxa"/>
            </w:tcMar>
            <w:vAlign w:val="center"/>
          </w:tcPr>
          <w:p>
            <w:r>
              <w:rPr>
                <w:sz w:val="18"/>
              </w:rPr>
              <w:t>Configuración, banners, menús, proveedor final y despliegue productivo.</w:t>
            </w:r>
          </w:p>
        </w:tc>
      </w:tr>
    </w:tbl>
    <w:p/>
    <w:p>
      <w:pPr>
        <w:pStyle w:val="Heading1"/>
      </w:pPr>
      <w:r>
        <w:t>Control de bloques de auditoría</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450"/>
            <w:tcMar>
              <w:top w:w="80" w:type="dxa"/>
              <w:start w:w="120" w:type="dxa"/>
              <w:bottom w:w="80" w:type="dxa"/>
              <w:end w:w="120" w:type="dxa"/>
            </w:tcMar>
            <w:shd w:fill="F2F4F7"/>
            <w:vAlign w:val="center"/>
          </w:tcPr>
          <w:p>
            <w:r>
              <w:rPr>
                <w:b/>
                <w:sz w:val="18"/>
              </w:rPr>
              <w:t>Bloque</w:t>
            </w:r>
          </w:p>
        </w:tc>
        <w:tc>
          <w:tcPr>
            <w:tcW w:type="dxa" w:w="900"/>
            <w:tcMar>
              <w:top w:w="80" w:type="dxa"/>
              <w:start w:w="120" w:type="dxa"/>
              <w:bottom w:w="80" w:type="dxa"/>
              <w:end w:w="120" w:type="dxa"/>
            </w:tcMar>
            <w:shd w:fill="F2F4F7"/>
            <w:vAlign w:val="center"/>
          </w:tcPr>
          <w:p>
            <w:r>
              <w:rPr>
                <w:b/>
                <w:sz w:val="18"/>
              </w:rPr>
              <w:t>Estado</w:t>
            </w:r>
          </w:p>
        </w:tc>
        <w:tc>
          <w:tcPr>
            <w:tcW w:type="dxa" w:w="6010"/>
            <w:tcMar>
              <w:top w:w="80" w:type="dxa"/>
              <w:start w:w="120" w:type="dxa"/>
              <w:bottom w:w="80" w:type="dxa"/>
              <w:end w:w="120" w:type="dxa"/>
            </w:tcMar>
            <w:shd w:fill="F2F4F7"/>
            <w:vAlign w:val="center"/>
          </w:tcPr>
          <w:p>
            <w:r>
              <w:rPr>
                <w:b/>
                <w:sz w:val="18"/>
              </w:rPr>
              <w:t>Resultado verificable</w:t>
            </w:r>
          </w:p>
        </w:tc>
      </w:tr>
      <w:tr>
        <w:tc>
          <w:tcPr>
            <w:tcW w:type="dxa" w:w="2450"/>
            <w:tcMar>
              <w:top w:w="80" w:type="dxa"/>
              <w:start w:w="120" w:type="dxa"/>
              <w:bottom w:w="80" w:type="dxa"/>
              <w:end w:w="120" w:type="dxa"/>
            </w:tcMar>
            <w:vAlign w:val="center"/>
          </w:tcPr>
          <w:p>
            <w:r>
              <w:rPr>
                <w:sz w:val="18"/>
              </w:rPr>
              <w:t>0. Normalización documental</w:t>
            </w:r>
          </w:p>
        </w:tc>
        <w:tc>
          <w:tcPr>
            <w:tcW w:type="dxa" w:w="900"/>
            <w:tcMar>
              <w:top w:w="80" w:type="dxa"/>
              <w:start w:w="120" w:type="dxa"/>
              <w:bottom w:w="80" w:type="dxa"/>
              <w:end w:w="120" w:type="dxa"/>
            </w:tcMar>
            <w:vAlign w:val="center"/>
          </w:tcPr>
          <w:p>
            <w:r>
              <w:rPr>
                <w:sz w:val="18"/>
              </w:rPr>
              <w:t>[x]</w:t>
            </w:r>
          </w:p>
        </w:tc>
        <w:tc>
          <w:tcPr>
            <w:tcW w:type="dxa" w:w="6010"/>
            <w:tcMar>
              <w:top w:w="80" w:type="dxa"/>
              <w:start w:w="120" w:type="dxa"/>
              <w:bottom w:w="80" w:type="dxa"/>
              <w:end w:w="120" w:type="dxa"/>
            </w:tcMar>
            <w:vAlign w:val="center"/>
          </w:tcPr>
          <w:p>
            <w:r>
              <w:rPr>
                <w:sz w:val="18"/>
              </w:rPr>
              <w:t>Checklists y esquema documental alineados con el estado operativo.</w:t>
            </w:r>
          </w:p>
        </w:tc>
      </w:tr>
      <w:tr>
        <w:tc>
          <w:tcPr>
            <w:tcW w:type="dxa" w:w="2450"/>
            <w:tcMar>
              <w:top w:w="80" w:type="dxa"/>
              <w:start w:w="120" w:type="dxa"/>
              <w:bottom w:w="80" w:type="dxa"/>
              <w:end w:w="120" w:type="dxa"/>
            </w:tcMar>
            <w:vAlign w:val="center"/>
          </w:tcPr>
          <w:p>
            <w:r>
              <w:rPr>
                <w:sz w:val="18"/>
              </w:rPr>
              <w:t>1. Fuentes y validaciones</w:t>
            </w:r>
          </w:p>
        </w:tc>
        <w:tc>
          <w:tcPr>
            <w:tcW w:type="dxa" w:w="900"/>
            <w:tcMar>
              <w:top w:w="80" w:type="dxa"/>
              <w:start w:w="120" w:type="dxa"/>
              <w:bottom w:w="80" w:type="dxa"/>
              <w:end w:w="120" w:type="dxa"/>
            </w:tcMar>
            <w:vAlign w:val="center"/>
          </w:tcPr>
          <w:p>
            <w:r>
              <w:rPr>
                <w:sz w:val="18"/>
              </w:rPr>
              <w:t>[x]</w:t>
            </w:r>
          </w:p>
        </w:tc>
        <w:tc>
          <w:tcPr>
            <w:tcW w:type="dxa" w:w="6010"/>
            <w:tcMar>
              <w:top w:w="80" w:type="dxa"/>
              <w:start w:w="120" w:type="dxa"/>
              <w:bottom w:w="80" w:type="dxa"/>
              <w:end w:w="120" w:type="dxa"/>
            </w:tcMar>
            <w:vAlign w:val="center"/>
          </w:tcPr>
          <w:p>
            <w:r>
              <w:rPr>
                <w:sz w:val="18"/>
              </w:rPr>
              <w:t>Módulos, administración, asociaciones con Content, Swagger y pruebas.</w:t>
            </w:r>
          </w:p>
        </w:tc>
      </w:tr>
      <w:tr>
        <w:tc>
          <w:tcPr>
            <w:tcW w:type="dxa" w:w="2450"/>
            <w:tcMar>
              <w:top w:w="80" w:type="dxa"/>
              <w:start w:w="120" w:type="dxa"/>
              <w:bottom w:w="80" w:type="dxa"/>
              <w:end w:w="120" w:type="dxa"/>
            </w:tcMar>
            <w:vAlign w:val="center"/>
          </w:tcPr>
          <w:p>
            <w:r>
              <w:rPr>
                <w:sz w:val="18"/>
              </w:rPr>
              <w:t>2. Publicación institucional</w:t>
            </w:r>
          </w:p>
        </w:tc>
        <w:tc>
          <w:tcPr>
            <w:tcW w:type="dxa" w:w="900"/>
            <w:tcMar>
              <w:top w:w="80" w:type="dxa"/>
              <w:start w:w="120" w:type="dxa"/>
              <w:bottom w:w="80" w:type="dxa"/>
              <w:end w:w="120" w:type="dxa"/>
            </w:tcMar>
            <w:vAlign w:val="center"/>
          </w:tcPr>
          <w:p>
            <w:r>
              <w:rPr>
                <w:sz w:val="18"/>
              </w:rPr>
              <w:t>[x]</w:t>
            </w:r>
          </w:p>
        </w:tc>
        <w:tc>
          <w:tcPr>
            <w:tcW w:type="dxa" w:w="6010"/>
            <w:tcMar>
              <w:top w:w="80" w:type="dxa"/>
              <w:start w:w="120" w:type="dxa"/>
              <w:bottom w:w="80" w:type="dxa"/>
              <w:end w:w="120" w:type="dxa"/>
            </w:tcMar>
            <w:vAlign w:val="center"/>
          </w:tcPr>
          <w:p>
            <w:r>
              <w:rPr>
                <w:sz w:val="18"/>
              </w:rPr>
              <w:t>Elegibilidad, responsabilidad institucional y respuesta pública segura.</w:t>
            </w:r>
          </w:p>
        </w:tc>
      </w:tr>
      <w:tr>
        <w:tc>
          <w:tcPr>
            <w:tcW w:type="dxa" w:w="2450"/>
            <w:tcMar>
              <w:top w:w="80" w:type="dxa"/>
              <w:start w:w="120" w:type="dxa"/>
              <w:bottom w:w="80" w:type="dxa"/>
              <w:end w:w="120" w:type="dxa"/>
            </w:tcMar>
            <w:vAlign w:val="center"/>
          </w:tcPr>
          <w:p>
            <w:r>
              <w:rPr>
                <w:sz w:val="18"/>
              </w:rPr>
              <w:t>3. Clasificación y multimedia</w:t>
            </w:r>
          </w:p>
        </w:tc>
        <w:tc>
          <w:tcPr>
            <w:tcW w:type="dxa" w:w="900"/>
            <w:tcMar>
              <w:top w:w="80" w:type="dxa"/>
              <w:start w:w="120" w:type="dxa"/>
              <w:bottom w:w="80" w:type="dxa"/>
              <w:end w:w="120" w:type="dxa"/>
            </w:tcMar>
            <w:vAlign w:val="center"/>
          </w:tcPr>
          <w:p>
            <w:r>
              <w:rPr>
                <w:sz w:val="18"/>
              </w:rPr>
              <w:t>[x]</w:t>
            </w:r>
          </w:p>
        </w:tc>
        <w:tc>
          <w:tcPr>
            <w:tcW w:type="dxa" w:w="6010"/>
            <w:tcMar>
              <w:top w:w="80" w:type="dxa"/>
              <w:start w:w="120" w:type="dxa"/>
              <w:bottom w:w="80" w:type="dxa"/>
              <w:end w:w="120" w:type="dxa"/>
            </w:tcMar>
            <w:vAlign w:val="center"/>
          </w:tcPr>
          <w:p>
            <w:r>
              <w:rPr>
                <w:sz w:val="18"/>
              </w:rPr>
              <w:t>Filtros públicos, contrato multimedia y Timeline alineados.</w:t>
            </w:r>
          </w:p>
        </w:tc>
      </w:tr>
      <w:tr>
        <w:tc>
          <w:tcPr>
            <w:tcW w:type="dxa" w:w="2450"/>
            <w:tcMar>
              <w:top w:w="80" w:type="dxa"/>
              <w:start w:w="120" w:type="dxa"/>
              <w:bottom w:w="80" w:type="dxa"/>
              <w:end w:w="120" w:type="dxa"/>
            </w:tcMar>
            <w:vAlign w:val="center"/>
          </w:tcPr>
          <w:p>
            <w:r>
              <w:rPr>
                <w:sz w:val="18"/>
              </w:rPr>
              <w:t>4. Administración MVP</w:t>
            </w:r>
          </w:p>
        </w:tc>
        <w:tc>
          <w:tcPr>
            <w:tcW w:type="dxa" w:w="900"/>
            <w:tcMar>
              <w:top w:w="80" w:type="dxa"/>
              <w:start w:w="120" w:type="dxa"/>
              <w:bottom w:w="80" w:type="dxa"/>
              <w:end w:w="120" w:type="dxa"/>
            </w:tcMar>
            <w:vAlign w:val="center"/>
          </w:tcPr>
          <w:p>
            <w:r>
              <w:rPr>
                <w:sz w:val="18"/>
              </w:rPr>
              <w:t>[x]</w:t>
            </w:r>
          </w:p>
        </w:tc>
        <w:tc>
          <w:tcPr>
            <w:tcW w:type="dxa" w:w="6010"/>
            <w:tcMar>
              <w:top w:w="80" w:type="dxa"/>
              <w:start w:w="120" w:type="dxa"/>
              <w:bottom w:w="80" w:type="dxa"/>
              <w:end w:w="120" w:type="dxa"/>
            </w:tcMar>
            <w:vAlign w:val="center"/>
          </w:tcPr>
          <w:p>
            <w:r>
              <w:rPr>
                <w:sz w:val="18"/>
              </w:rPr>
              <w:t>Dashboard y perfil; capacidades no soportadas diferidas formalmente.</w:t>
            </w:r>
          </w:p>
        </w:tc>
      </w:tr>
      <w:tr>
        <w:tc>
          <w:tcPr>
            <w:tcW w:type="dxa" w:w="2450"/>
            <w:tcMar>
              <w:top w:w="80" w:type="dxa"/>
              <w:start w:w="120" w:type="dxa"/>
              <w:bottom w:w="80" w:type="dxa"/>
              <w:end w:w="120" w:type="dxa"/>
            </w:tcMar>
            <w:vAlign w:val="center"/>
          </w:tcPr>
          <w:p>
            <w:r>
              <w:rPr>
                <w:sz w:val="18"/>
              </w:rPr>
              <w:t>5. Sesión, pruebas y calidad</w:t>
            </w:r>
          </w:p>
        </w:tc>
        <w:tc>
          <w:tcPr>
            <w:tcW w:type="dxa" w:w="900"/>
            <w:tcMar>
              <w:top w:w="80" w:type="dxa"/>
              <w:start w:w="120" w:type="dxa"/>
              <w:bottom w:w="80" w:type="dxa"/>
              <w:end w:w="120" w:type="dxa"/>
            </w:tcMar>
            <w:vAlign w:val="center"/>
          </w:tcPr>
          <w:p>
            <w:r>
              <w:rPr>
                <w:sz w:val="18"/>
              </w:rPr>
              <w:t>[x]</w:t>
            </w:r>
          </w:p>
        </w:tc>
        <w:tc>
          <w:tcPr>
            <w:tcW w:type="dxa" w:w="6010"/>
            <w:tcMar>
              <w:top w:w="80" w:type="dxa"/>
              <w:start w:w="120" w:type="dxa"/>
              <w:bottom w:w="80" w:type="dxa"/>
              <w:end w:w="120" w:type="dxa"/>
            </w:tcMar>
            <w:vAlign w:val="center"/>
          </w:tcPr>
          <w:p>
            <w:r>
              <w:rPr>
                <w:sz w:val="18"/>
              </w:rPr>
              <w:t>Invalidación/rotación de refresh token y verificación automatizada.</w:t>
            </w:r>
          </w:p>
        </w:tc>
      </w:tr>
      <w:tr>
        <w:tc>
          <w:tcPr>
            <w:tcW w:type="dxa" w:w="2450"/>
            <w:tcMar>
              <w:top w:w="80" w:type="dxa"/>
              <w:start w:w="120" w:type="dxa"/>
              <w:bottom w:w="80" w:type="dxa"/>
              <w:end w:w="120" w:type="dxa"/>
            </w:tcMar>
            <w:vAlign w:val="center"/>
          </w:tcPr>
          <w:p>
            <w:r>
              <w:rPr>
                <w:sz w:val="18"/>
              </w:rPr>
              <w:t>6. Arquitectura</w:t>
            </w:r>
          </w:p>
        </w:tc>
        <w:tc>
          <w:tcPr>
            <w:tcW w:type="dxa" w:w="900"/>
            <w:tcMar>
              <w:top w:w="80" w:type="dxa"/>
              <w:start w:w="120" w:type="dxa"/>
              <w:bottom w:w="80" w:type="dxa"/>
              <w:end w:w="120" w:type="dxa"/>
            </w:tcMar>
            <w:vAlign w:val="center"/>
          </w:tcPr>
          <w:p>
            <w:r>
              <w:rPr>
                <w:sz w:val="18"/>
              </w:rPr>
              <w:t>[x]</w:t>
            </w:r>
          </w:p>
        </w:tc>
        <w:tc>
          <w:tcPr>
            <w:tcW w:type="dxa" w:w="6010"/>
            <w:tcMar>
              <w:top w:w="80" w:type="dxa"/>
              <w:start w:w="120" w:type="dxa"/>
              <w:bottom w:w="80" w:type="dxa"/>
              <w:end w:w="120" w:type="dxa"/>
            </w:tcMar>
            <w:vAlign w:val="center"/>
          </w:tcPr>
          <w:p>
            <w:r>
              <w:rPr>
                <w:sz w:val="18"/>
              </w:rPr>
              <w:t>ADR-013, repositorios en módulos nuevos y límites de infraestructura revisados.</w:t>
            </w:r>
          </w:p>
        </w:tc>
      </w:tr>
      <w:tr>
        <w:tc>
          <w:tcPr>
            <w:tcW w:type="dxa" w:w="2450"/>
            <w:tcMar>
              <w:top w:w="80" w:type="dxa"/>
              <w:start w:w="120" w:type="dxa"/>
              <w:bottom w:w="80" w:type="dxa"/>
              <w:end w:w="120" w:type="dxa"/>
            </w:tcMar>
            <w:vAlign w:val="center"/>
          </w:tcPr>
          <w:p>
            <w:r>
              <w:rPr>
                <w:sz w:val="18"/>
              </w:rPr>
              <w:t>7. DevOps</w:t>
            </w:r>
          </w:p>
        </w:tc>
        <w:tc>
          <w:tcPr>
            <w:tcW w:type="dxa" w:w="900"/>
            <w:tcMar>
              <w:top w:w="80" w:type="dxa"/>
              <w:start w:w="120" w:type="dxa"/>
              <w:bottom w:w="80" w:type="dxa"/>
              <w:end w:w="120" w:type="dxa"/>
            </w:tcMar>
            <w:vAlign w:val="center"/>
          </w:tcPr>
          <w:p>
            <w:r>
              <w:rPr>
                <w:sz w:val="18"/>
              </w:rPr>
              <w:t>[x]</w:t>
            </w:r>
          </w:p>
        </w:tc>
        <w:tc>
          <w:tcPr>
            <w:tcW w:type="dxa" w:w="6010"/>
            <w:tcMar>
              <w:top w:w="80" w:type="dxa"/>
              <w:start w:w="120" w:type="dxa"/>
              <w:bottom w:w="80" w:type="dxa"/>
              <w:end w:w="120" w:type="dxa"/>
            </w:tcMar>
            <w:vAlign w:val="center"/>
          </w:tcPr>
          <w:p>
            <w:r>
              <w:rPr>
                <w:sz w:val="18"/>
              </w:rPr>
              <w:t>Docker local para PostgreSQL, CI, respaldo, restauración y procedimientos.</w:t>
            </w:r>
          </w:p>
        </w:tc>
      </w:tr>
    </w:tbl>
    <w:p/>
    <w:p>
      <w:pPr>
        <w:pStyle w:val="Heading1"/>
      </w:pPr>
      <w:r>
        <w:t>Control de slices de implementación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500"/>
            <w:tcMar>
              <w:top w:w="80" w:type="dxa"/>
              <w:start w:w="120" w:type="dxa"/>
              <w:bottom w:w="80" w:type="dxa"/>
              <w:end w:w="120" w:type="dxa"/>
            </w:tcMar>
            <w:shd w:fill="F2F4F7"/>
            <w:vAlign w:val="center"/>
          </w:tcPr>
          <w:p>
            <w:r>
              <w:rPr>
                <w:b/>
                <w:sz w:val="18"/>
              </w:rPr>
              <w:t>#</w:t>
            </w:r>
          </w:p>
        </w:tc>
        <w:tc>
          <w:tcPr>
            <w:tcW w:type="dxa" w:w="2250"/>
            <w:tcMar>
              <w:top w:w="80" w:type="dxa"/>
              <w:start w:w="120" w:type="dxa"/>
              <w:bottom w:w="80" w:type="dxa"/>
              <w:end w:w="120" w:type="dxa"/>
            </w:tcMar>
            <w:shd w:fill="F2F4F7"/>
            <w:vAlign w:val="center"/>
          </w:tcPr>
          <w:p>
            <w:r>
              <w:rPr>
                <w:b/>
                <w:sz w:val="18"/>
              </w:rPr>
              <w:t>Slice</w:t>
            </w:r>
          </w:p>
        </w:tc>
        <w:tc>
          <w:tcPr>
            <w:tcW w:type="dxa" w:w="900"/>
            <w:tcMar>
              <w:top w:w="80" w:type="dxa"/>
              <w:start w:w="120" w:type="dxa"/>
              <w:bottom w:w="80" w:type="dxa"/>
              <w:end w:w="120" w:type="dxa"/>
            </w:tcMar>
            <w:shd w:fill="F2F4F7"/>
            <w:vAlign w:val="center"/>
          </w:tcPr>
          <w:p>
            <w:r>
              <w:rPr>
                <w:b/>
                <w:sz w:val="18"/>
              </w:rPr>
              <w:t>Estado</w:t>
            </w:r>
          </w:p>
        </w:tc>
        <w:tc>
          <w:tcPr>
            <w:tcW w:type="dxa" w:w="5710"/>
            <w:tcMar>
              <w:top w:w="80" w:type="dxa"/>
              <w:start w:w="120" w:type="dxa"/>
              <w:bottom w:w="80" w:type="dxa"/>
              <w:end w:w="120" w:type="dxa"/>
            </w:tcMar>
            <w:shd w:fill="F2F4F7"/>
            <w:vAlign w:val="center"/>
          </w:tcPr>
          <w:p>
            <w:r>
              <w:rPr>
                <w:b/>
                <w:sz w:val="18"/>
              </w:rPr>
              <w:t>Resultado</w:t>
            </w:r>
          </w:p>
        </w:tc>
      </w:tr>
      <w:tr>
        <w:tc>
          <w:tcPr>
            <w:tcW w:type="dxa" w:w="500"/>
            <w:tcMar>
              <w:top w:w="80" w:type="dxa"/>
              <w:start w:w="120" w:type="dxa"/>
              <w:bottom w:w="80" w:type="dxa"/>
              <w:end w:w="120" w:type="dxa"/>
            </w:tcMar>
            <w:vAlign w:val="center"/>
          </w:tcPr>
          <w:p>
            <w:r>
              <w:rPr>
                <w:sz w:val="18"/>
              </w:rPr>
              <w:t>0</w:t>
            </w:r>
          </w:p>
        </w:tc>
        <w:tc>
          <w:tcPr>
            <w:tcW w:type="dxa" w:w="2250"/>
            <w:tcMar>
              <w:top w:w="80" w:type="dxa"/>
              <w:start w:w="120" w:type="dxa"/>
              <w:bottom w:w="80" w:type="dxa"/>
              <w:end w:w="120" w:type="dxa"/>
            </w:tcMar>
            <w:vAlign w:val="center"/>
          </w:tcPr>
          <w:p>
            <w:r>
              <w:rPr>
                <w:sz w:val="18"/>
              </w:rPr>
              <w:t>Preparación controlada</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Monorepo, workspaces, esquema, variables y documentación base.</w:t>
            </w:r>
          </w:p>
        </w:tc>
      </w:tr>
      <w:tr>
        <w:tc>
          <w:tcPr>
            <w:tcW w:type="dxa" w:w="500"/>
            <w:tcMar>
              <w:top w:w="80" w:type="dxa"/>
              <w:start w:w="120" w:type="dxa"/>
              <w:bottom w:w="80" w:type="dxa"/>
              <w:end w:w="120" w:type="dxa"/>
            </w:tcMar>
            <w:vAlign w:val="center"/>
          </w:tcPr>
          <w:p>
            <w:r>
              <w:rPr>
                <w:sz w:val="18"/>
              </w:rPr>
              <w:t>1</w:t>
            </w:r>
          </w:p>
        </w:tc>
        <w:tc>
          <w:tcPr>
            <w:tcW w:type="dxa" w:w="2250"/>
            <w:tcMar>
              <w:top w:w="80" w:type="dxa"/>
              <w:start w:w="120" w:type="dxa"/>
              <w:bottom w:w="80" w:type="dxa"/>
              <w:end w:w="120" w:type="dxa"/>
            </w:tcMar>
            <w:vAlign w:val="center"/>
          </w:tcPr>
          <w:p>
            <w:r>
              <w:rPr>
                <w:sz w:val="18"/>
              </w:rPr>
              <w:t>Backend y health check</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NestJS, validación, errores, CORS, Swagger y health check.</w:t>
            </w:r>
          </w:p>
        </w:tc>
      </w:tr>
      <w:tr>
        <w:tc>
          <w:tcPr>
            <w:tcW w:type="dxa" w:w="500"/>
            <w:tcMar>
              <w:top w:w="80" w:type="dxa"/>
              <w:start w:w="120" w:type="dxa"/>
              <w:bottom w:w="80" w:type="dxa"/>
              <w:end w:w="120" w:type="dxa"/>
            </w:tcMar>
            <w:vAlign w:val="center"/>
          </w:tcPr>
          <w:p>
            <w:r>
              <w:rPr>
                <w:sz w:val="18"/>
              </w:rPr>
              <w:t>2</w:t>
            </w:r>
          </w:p>
        </w:tc>
        <w:tc>
          <w:tcPr>
            <w:tcW w:type="dxa" w:w="2250"/>
            <w:tcMar>
              <w:top w:w="80" w:type="dxa"/>
              <w:start w:w="120" w:type="dxa"/>
              <w:bottom w:w="80" w:type="dxa"/>
              <w:end w:w="120" w:type="dxa"/>
            </w:tcMar>
            <w:vAlign w:val="center"/>
          </w:tcPr>
          <w:p>
            <w:r>
              <w:rPr>
                <w:sz w:val="18"/>
              </w:rPr>
              <w:t>Prisma local</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Prisma 7, migración, generación, PostgreSQL y seed controlado.</w:t>
            </w:r>
          </w:p>
        </w:tc>
      </w:tr>
      <w:tr>
        <w:tc>
          <w:tcPr>
            <w:tcW w:type="dxa" w:w="500"/>
            <w:tcMar>
              <w:top w:w="80" w:type="dxa"/>
              <w:start w:w="120" w:type="dxa"/>
              <w:bottom w:w="80" w:type="dxa"/>
              <w:end w:w="120" w:type="dxa"/>
            </w:tcMar>
            <w:vAlign w:val="center"/>
          </w:tcPr>
          <w:p>
            <w:r>
              <w:rPr>
                <w:sz w:val="18"/>
              </w:rPr>
              <w:t>3</w:t>
            </w:r>
          </w:p>
        </w:tc>
        <w:tc>
          <w:tcPr>
            <w:tcW w:type="dxa" w:w="2250"/>
            <w:tcMar>
              <w:top w:w="80" w:type="dxa"/>
              <w:start w:w="120" w:type="dxa"/>
              <w:bottom w:w="80" w:type="dxa"/>
              <w:end w:w="120" w:type="dxa"/>
            </w:tcMar>
            <w:vAlign w:val="center"/>
          </w:tcPr>
          <w:p>
            <w:r>
              <w:rPr>
                <w:sz w:val="18"/>
              </w:rPr>
              <w:t>Autenticación</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JWT, Argon2, cookies HttpOnly, refresh, logout y perfil.</w:t>
            </w:r>
          </w:p>
        </w:tc>
      </w:tr>
      <w:tr>
        <w:tc>
          <w:tcPr>
            <w:tcW w:type="dxa" w:w="500"/>
            <w:tcMar>
              <w:top w:w="80" w:type="dxa"/>
              <w:start w:w="120" w:type="dxa"/>
              <w:bottom w:w="80" w:type="dxa"/>
              <w:end w:w="120" w:type="dxa"/>
            </w:tcMar>
            <w:vAlign w:val="center"/>
          </w:tcPr>
          <w:p>
            <w:r>
              <w:rPr>
                <w:sz w:val="18"/>
              </w:rPr>
              <w:t>4</w:t>
            </w:r>
          </w:p>
        </w:tc>
        <w:tc>
          <w:tcPr>
            <w:tcW w:type="dxa" w:w="2250"/>
            <w:tcMar>
              <w:top w:w="80" w:type="dxa"/>
              <w:start w:w="120" w:type="dxa"/>
              <w:bottom w:w="80" w:type="dxa"/>
              <w:end w:w="120" w:type="dxa"/>
            </w:tcMar>
            <w:vAlign w:val="center"/>
          </w:tcPr>
          <w:p>
            <w:r>
              <w:rPr>
                <w:sz w:val="18"/>
              </w:rPr>
              <w:t>Content base</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CRUD editorial, estados, SEO, tipificación y autoría.</w:t>
            </w:r>
          </w:p>
        </w:tc>
      </w:tr>
      <w:tr>
        <w:tc>
          <w:tcPr>
            <w:tcW w:type="dxa" w:w="500"/>
            <w:tcMar>
              <w:top w:w="80" w:type="dxa"/>
              <w:start w:w="120" w:type="dxa"/>
              <w:bottom w:w="80" w:type="dxa"/>
              <w:end w:w="120" w:type="dxa"/>
            </w:tcMar>
            <w:vAlign w:val="center"/>
          </w:tcPr>
          <w:p>
            <w:r>
              <w:rPr>
                <w:sz w:val="18"/>
              </w:rPr>
              <w:t>5</w:t>
            </w:r>
          </w:p>
        </w:tc>
        <w:tc>
          <w:tcPr>
            <w:tcW w:type="dxa" w:w="2250"/>
            <w:tcMar>
              <w:top w:w="80" w:type="dxa"/>
              <w:start w:w="120" w:type="dxa"/>
              <w:bottom w:w="80" w:type="dxa"/>
              <w:end w:w="120" w:type="dxa"/>
            </w:tcMar>
            <w:vAlign w:val="center"/>
          </w:tcPr>
          <w:p>
            <w:r>
              <w:rPr>
                <w:sz w:val="18"/>
              </w:rPr>
              <w:t>Publication base</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Publication separada, slugs, retiro, archivo y responsabilidad.</w:t>
            </w:r>
          </w:p>
        </w:tc>
      </w:tr>
      <w:tr>
        <w:tc>
          <w:tcPr>
            <w:tcW w:type="dxa" w:w="500"/>
            <w:tcMar>
              <w:top w:w="80" w:type="dxa"/>
              <w:start w:w="120" w:type="dxa"/>
              <w:bottom w:w="80" w:type="dxa"/>
              <w:end w:w="120" w:type="dxa"/>
            </w:tcMar>
            <w:vAlign w:val="center"/>
          </w:tcPr>
          <w:p>
            <w:r>
              <w:rPr>
                <w:sz w:val="18"/>
              </w:rPr>
              <w:t>6</w:t>
            </w:r>
          </w:p>
        </w:tc>
        <w:tc>
          <w:tcPr>
            <w:tcW w:type="dxa" w:w="2250"/>
            <w:tcMar>
              <w:top w:w="80" w:type="dxa"/>
              <w:start w:w="120" w:type="dxa"/>
              <w:bottom w:w="80" w:type="dxa"/>
              <w:end w:w="120" w:type="dxa"/>
            </w:tcMar>
            <w:vAlign w:val="center"/>
          </w:tcPr>
          <w:p>
            <w:r>
              <w:rPr>
                <w:sz w:val="18"/>
              </w:rPr>
              <w:t>Consulta pública</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Listado, detalle, búsqueda, destacados, filtros y protección pública.</w:t>
            </w:r>
          </w:p>
        </w:tc>
      </w:tr>
      <w:tr>
        <w:tc>
          <w:tcPr>
            <w:tcW w:type="dxa" w:w="500"/>
            <w:tcMar>
              <w:top w:w="80" w:type="dxa"/>
              <w:start w:w="120" w:type="dxa"/>
              <w:bottom w:w="80" w:type="dxa"/>
              <w:end w:w="120" w:type="dxa"/>
            </w:tcMar>
            <w:vAlign w:val="center"/>
          </w:tcPr>
          <w:p>
            <w:r>
              <w:rPr>
                <w:sz w:val="18"/>
              </w:rPr>
              <w:t>7</w:t>
            </w:r>
          </w:p>
        </w:tc>
        <w:tc>
          <w:tcPr>
            <w:tcW w:type="dxa" w:w="2250"/>
            <w:tcMar>
              <w:top w:w="80" w:type="dxa"/>
              <w:start w:w="120" w:type="dxa"/>
              <w:bottom w:w="80" w:type="dxa"/>
              <w:end w:w="120" w:type="dxa"/>
            </w:tcMar>
            <w:vAlign w:val="center"/>
          </w:tcPr>
          <w:p>
            <w:r>
              <w:rPr>
                <w:sz w:val="18"/>
              </w:rPr>
              <w:t>Multimedia</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StorageProvider, recursos reutilizables, asociaciones y accesibilidad.</w:t>
            </w:r>
          </w:p>
        </w:tc>
      </w:tr>
      <w:tr>
        <w:tc>
          <w:tcPr>
            <w:tcW w:type="dxa" w:w="500"/>
            <w:tcMar>
              <w:top w:w="80" w:type="dxa"/>
              <w:start w:w="120" w:type="dxa"/>
              <w:bottom w:w="80" w:type="dxa"/>
              <w:end w:w="120" w:type="dxa"/>
            </w:tcMar>
            <w:vAlign w:val="center"/>
          </w:tcPr>
          <w:p>
            <w:r>
              <w:rPr>
                <w:sz w:val="18"/>
              </w:rPr>
              <w:t>8</w:t>
            </w:r>
          </w:p>
        </w:tc>
        <w:tc>
          <w:tcPr>
            <w:tcW w:type="dxa" w:w="2250"/>
            <w:tcMar>
              <w:top w:w="80" w:type="dxa"/>
              <w:start w:w="120" w:type="dxa"/>
              <w:bottom w:w="80" w:type="dxa"/>
              <w:end w:w="120" w:type="dxa"/>
            </w:tcMar>
            <w:vAlign w:val="center"/>
          </w:tcPr>
          <w:p>
            <w:r>
              <w:rPr>
                <w:sz w:val="18"/>
              </w:rPr>
              <w:t>Clasificación</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Tipos, categorías, etiquetas y filtros públicos.</w:t>
            </w:r>
          </w:p>
        </w:tc>
      </w:tr>
      <w:tr>
        <w:tc>
          <w:tcPr>
            <w:tcW w:type="dxa" w:w="500"/>
            <w:tcMar>
              <w:top w:w="80" w:type="dxa"/>
              <w:start w:w="120" w:type="dxa"/>
              <w:bottom w:w="80" w:type="dxa"/>
              <w:end w:w="120" w:type="dxa"/>
            </w:tcMar>
            <w:vAlign w:val="center"/>
          </w:tcPr>
          <w:p>
            <w:r>
              <w:rPr>
                <w:sz w:val="18"/>
              </w:rPr>
              <w:t>9</w:t>
            </w:r>
          </w:p>
        </w:tc>
        <w:tc>
          <w:tcPr>
            <w:tcW w:type="dxa" w:w="2250"/>
            <w:tcMar>
              <w:top w:w="80" w:type="dxa"/>
              <w:start w:w="120" w:type="dxa"/>
              <w:bottom w:w="80" w:type="dxa"/>
              <w:end w:w="120" w:type="dxa"/>
            </w:tcMar>
            <w:vAlign w:val="center"/>
          </w:tcPr>
          <w:p>
            <w:r>
              <w:rPr>
                <w:sz w:val="18"/>
              </w:rPr>
              <w:t>Campaign / Disease</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CRUD, asociaciones y consulta pública.</w:t>
            </w:r>
          </w:p>
        </w:tc>
      </w:tr>
      <w:tr>
        <w:tc>
          <w:tcPr>
            <w:tcW w:type="dxa" w:w="500"/>
            <w:tcMar>
              <w:top w:w="80" w:type="dxa"/>
              <w:start w:w="120" w:type="dxa"/>
              <w:bottom w:w="80" w:type="dxa"/>
              <w:end w:w="120" w:type="dxa"/>
            </w:tcMar>
            <w:vAlign w:val="center"/>
          </w:tcPr>
          <w:p>
            <w:r>
              <w:rPr>
                <w:sz w:val="18"/>
              </w:rPr>
              <w:t>10</w:t>
            </w:r>
          </w:p>
        </w:tc>
        <w:tc>
          <w:tcPr>
            <w:tcW w:type="dxa" w:w="2250"/>
            <w:tcMar>
              <w:top w:w="80" w:type="dxa"/>
              <w:start w:w="120" w:type="dxa"/>
              <w:bottom w:w="80" w:type="dxa"/>
              <w:end w:w="120" w:type="dxa"/>
            </w:tcMar>
            <w:vAlign w:val="center"/>
          </w:tcPr>
          <w:p>
            <w:r>
              <w:rPr>
                <w:sz w:val="18"/>
              </w:rPr>
              <w:t>Timeline</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Eventos administrables, multimedia y detalle público.</w:t>
            </w:r>
          </w:p>
        </w:tc>
      </w:tr>
      <w:tr>
        <w:tc>
          <w:tcPr>
            <w:tcW w:type="dxa" w:w="500"/>
            <w:tcMar>
              <w:top w:w="80" w:type="dxa"/>
              <w:start w:w="120" w:type="dxa"/>
              <w:bottom w:w="80" w:type="dxa"/>
              <w:end w:w="120" w:type="dxa"/>
            </w:tcMar>
            <w:vAlign w:val="center"/>
          </w:tcPr>
          <w:p>
            <w:r>
              <w:rPr>
                <w:sz w:val="18"/>
              </w:rPr>
              <w:t>11</w:t>
            </w:r>
          </w:p>
        </w:tc>
        <w:tc>
          <w:tcPr>
            <w:tcW w:type="dxa" w:w="2250"/>
            <w:tcMar>
              <w:top w:w="80" w:type="dxa"/>
              <w:start w:w="120" w:type="dxa"/>
              <w:bottom w:w="80" w:type="dxa"/>
              <w:end w:w="120" w:type="dxa"/>
            </w:tcMar>
            <w:vAlign w:val="center"/>
          </w:tcPr>
          <w:p>
            <w:r>
              <w:rPr>
                <w:sz w:val="18"/>
              </w:rPr>
              <w:t>Canales</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Distribución manual/asistida y adaptadores desacoplados.</w:t>
            </w:r>
          </w:p>
        </w:tc>
      </w:tr>
      <w:tr>
        <w:tc>
          <w:tcPr>
            <w:tcW w:type="dxa" w:w="500"/>
            <w:tcMar>
              <w:top w:w="80" w:type="dxa"/>
              <w:start w:w="120" w:type="dxa"/>
              <w:bottom w:w="80" w:type="dxa"/>
              <w:end w:w="120" w:type="dxa"/>
            </w:tcMar>
            <w:vAlign w:val="center"/>
          </w:tcPr>
          <w:p>
            <w:r>
              <w:rPr>
                <w:sz w:val="18"/>
              </w:rPr>
              <w:t>12</w:t>
            </w:r>
          </w:p>
        </w:tc>
        <w:tc>
          <w:tcPr>
            <w:tcW w:type="dxa" w:w="2250"/>
            <w:tcMar>
              <w:top w:w="80" w:type="dxa"/>
              <w:start w:w="120" w:type="dxa"/>
              <w:bottom w:w="80" w:type="dxa"/>
              <w:end w:w="120" w:type="dxa"/>
            </w:tcMar>
            <w:vAlign w:val="center"/>
          </w:tcPr>
          <w:p>
            <w:r>
              <w:rPr>
                <w:sz w:val="18"/>
              </w:rPr>
              <w:t>Trazabilidad</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Eventos institucionales y consulta administrativa sin CRUD libre.</w:t>
            </w:r>
          </w:p>
        </w:tc>
      </w:tr>
      <w:tr>
        <w:tc>
          <w:tcPr>
            <w:tcW w:type="dxa" w:w="500"/>
            <w:tcMar>
              <w:top w:w="80" w:type="dxa"/>
              <w:start w:w="120" w:type="dxa"/>
              <w:bottom w:w="80" w:type="dxa"/>
              <w:end w:w="120" w:type="dxa"/>
            </w:tcMar>
            <w:vAlign w:val="center"/>
          </w:tcPr>
          <w:p>
            <w:r>
              <w:rPr>
                <w:sz w:val="18"/>
              </w:rPr>
              <w:t>13</w:t>
            </w:r>
          </w:p>
        </w:tc>
        <w:tc>
          <w:tcPr>
            <w:tcW w:type="dxa" w:w="2250"/>
            <w:tcMar>
              <w:top w:w="80" w:type="dxa"/>
              <w:start w:w="120" w:type="dxa"/>
              <w:bottom w:w="80" w:type="dxa"/>
              <w:end w:w="120" w:type="dxa"/>
            </w:tcMar>
            <w:vAlign w:val="center"/>
          </w:tcPr>
          <w:p>
            <w:r>
              <w:rPr>
                <w:sz w:val="18"/>
              </w:rPr>
              <w:t>MVP End-to-End</w:t>
            </w:r>
          </w:p>
        </w:tc>
        <w:tc>
          <w:tcPr>
            <w:tcW w:type="dxa" w:w="900"/>
            <w:tcMar>
              <w:top w:w="80" w:type="dxa"/>
              <w:start w:w="120" w:type="dxa"/>
              <w:bottom w:w="80" w:type="dxa"/>
              <w:end w:w="120" w:type="dxa"/>
            </w:tcMar>
            <w:vAlign w:val="center"/>
          </w:tcPr>
          <w:p>
            <w:r>
              <w:rPr>
                <w:sz w:val="18"/>
              </w:rPr>
              <w:t>[x]</w:t>
            </w:r>
          </w:p>
        </w:tc>
        <w:tc>
          <w:tcPr>
            <w:tcW w:type="dxa" w:w="5710"/>
            <w:tcMar>
              <w:top w:w="80" w:type="dxa"/>
              <w:start w:w="120" w:type="dxa"/>
              <w:bottom w:w="80" w:type="dxa"/>
              <w:end w:w="120" w:type="dxa"/>
            </w:tcMar>
            <w:vAlign w:val="center"/>
          </w:tcPr>
          <w:p>
            <w:r>
              <w:rPr>
                <w:sz w:val="18"/>
              </w:rPr>
              <w:t>Flujo institucional completo con evidencia de pruebas.</w:t>
            </w:r>
          </w:p>
        </w:tc>
      </w:tr>
    </w:tbl>
    <w:p/>
    <w:p>
      <w:pPr>
        <w:pStyle w:val="Heading1"/>
      </w:pPr>
      <w:r>
        <w:t>Evidencia de verificación</w:t>
      </w:r>
    </w:p>
    <w:p>
      <w:pPr>
        <w:pStyle w:val="ListBullet"/>
      </w:pPr>
      <w:r>
        <w:t>Pruebas unitarias backend: 136 aprobadas.</w:t>
      </w:r>
    </w:p>
    <w:p>
      <w:pPr>
        <w:pStyle w:val="ListBullet"/>
      </w:pPr>
      <w:r>
        <w:t>Pruebas de integración: autenticación, contenido/publicación y Source/Validation aprobadas.</w:t>
      </w:r>
    </w:p>
    <w:p>
      <w:pPr>
        <w:pStyle w:val="ListBullet"/>
      </w:pPr>
      <w:r>
        <w:t>Pruebas frontend y chequeos TypeScript: aprobados.</w:t>
      </w:r>
    </w:p>
    <w:p>
      <w:pPr>
        <w:pStyle w:val="ListBullet"/>
      </w:pPr>
      <w:r>
        <w:t>CI configurada para lint, chequeos de tipos, build, pruebas y validación Prisma.</w:t>
      </w:r>
    </w:p>
    <w:p>
      <w:pPr>
        <w:pStyle w:val="ListBullet"/>
      </w:pPr>
      <w:r>
        <w:t>ADRs relevantes: autenticación, StorageProvider, modular monolith, repositorios y Docker local.</w:t>
      </w:r>
    </w:p>
    <w:p>
      <w:pPr>
        <w:pStyle w:val="Heading1"/>
      </w:pPr>
      <w:r>
        <w:t>Capacidades diferidas y límites vigentes</w:t>
      </w:r>
    </w:p>
    <w:p>
      <w:pPr>
        <w:pStyle w:val="ListBullet"/>
      </w:pPr>
      <w:r>
        <w:t>Configuración básica del sitio, banners y menús administrables.</w:t>
      </w:r>
    </w:p>
    <w:p>
      <w:pPr>
        <w:pStyle w:val="ListBullet"/>
      </w:pPr>
      <w:r>
        <w:t>Proveedor final, despliegue de staging y producción, HTTPS operativo y operación cloud.</w:t>
      </w:r>
    </w:p>
    <w:p>
      <w:pPr>
        <w:pStyle w:val="ListBullet"/>
      </w:pPr>
      <w:r>
        <w:t>Chatbot, RAG, embeddings, pgvector y búsqueda semántica.</w:t>
      </w:r>
    </w:p>
    <w:p>
      <w:pPr>
        <w:pStyle w:val="ListBullet"/>
      </w:pPr>
      <w:r>
        <w:t>Roles avanzados, workflow editorial multinivel, analítica avanzada e integración automática real con redes sociales.</w:t>
      </w:r>
    </w:p>
    <w:p>
      <w:pPr>
        <w:pStyle w:val="ListBullet"/>
      </w:pPr>
      <w:r>
        <w:t>Cualquier capacidad clínica, hospitalaria, de diagnóstico, expediente o citas.</w:t>
      </w:r>
    </w:p>
    <w:p>
      <w:pPr>
        <w:pStyle w:val="Heading1"/>
      </w:pPr>
      <w:r>
        <w:t>Próximo paso de gobierno</w:t>
      </w:r>
    </w:p>
    <w:p>
      <w:r>
        <w:t>Antes de iniciar trabajo adicional, abrir una nueva fase con ADR, alcance, criterios de aceptación y checklist propio. La primera decisión recomendada es priorizar entre configuración institucional básica, despliegue controlado o evolución de conocimiento/IA; ninguna debe incorporarse como cambio menor al MVP cerrado.</w:t>
      </w:r>
    </w:p>
    <w:p>
      <w:pPr>
        <w:pStyle w:val="Heading1"/>
      </w:pPr>
      <w:r>
        <w:t>Registro semanal de avance</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1500"/>
            <w:tcMar>
              <w:top w:w="80" w:type="dxa"/>
              <w:start w:w="120" w:type="dxa"/>
              <w:bottom w:w="80" w:type="dxa"/>
              <w:end w:w="120" w:type="dxa"/>
            </w:tcMar>
            <w:shd w:fill="F2F4F7"/>
            <w:vAlign w:val="center"/>
          </w:tcPr>
          <w:p>
            <w:r>
              <w:rPr>
                <w:b/>
                <w:sz w:val="18"/>
              </w:rPr>
              <w:t>Fecha</w:t>
            </w:r>
          </w:p>
        </w:tc>
        <w:tc>
          <w:tcPr>
            <w:tcW w:type="dxa" w:w="2700"/>
            <w:tcMar>
              <w:top w:w="80" w:type="dxa"/>
              <w:start w:w="120" w:type="dxa"/>
              <w:bottom w:w="80" w:type="dxa"/>
              <w:end w:w="120" w:type="dxa"/>
            </w:tcMar>
            <w:shd w:fill="F2F4F7"/>
            <w:vAlign w:val="center"/>
          </w:tcPr>
          <w:p>
            <w:r>
              <w:rPr>
                <w:b/>
                <w:sz w:val="18"/>
              </w:rPr>
              <w:t>Hito</w:t>
            </w:r>
          </w:p>
        </w:tc>
        <w:tc>
          <w:tcPr>
            <w:tcW w:type="dxa" w:w="1100"/>
            <w:tcMar>
              <w:top w:w="80" w:type="dxa"/>
              <w:start w:w="120" w:type="dxa"/>
              <w:bottom w:w="80" w:type="dxa"/>
              <w:end w:w="120" w:type="dxa"/>
            </w:tcMar>
            <w:shd w:fill="F2F4F7"/>
            <w:vAlign w:val="center"/>
          </w:tcPr>
          <w:p>
            <w:r>
              <w:rPr>
                <w:b/>
                <w:sz w:val="18"/>
              </w:rPr>
              <w:t>Estado</w:t>
            </w:r>
          </w:p>
        </w:tc>
        <w:tc>
          <w:tcPr>
            <w:tcW w:type="dxa" w:w="4060"/>
            <w:tcMar>
              <w:top w:w="80" w:type="dxa"/>
              <w:start w:w="120" w:type="dxa"/>
              <w:bottom w:w="80" w:type="dxa"/>
              <w:end w:w="120" w:type="dxa"/>
            </w:tcMar>
            <w:shd w:fill="F2F4F7"/>
            <w:vAlign w:val="center"/>
          </w:tcPr>
          <w:p>
            <w:r>
              <w:rPr>
                <w:b/>
                <w:sz w:val="18"/>
              </w:rPr>
              <w:t>Evidencia</w:t>
            </w:r>
          </w:p>
        </w:tc>
      </w:tr>
      <w:tr>
        <w:tc>
          <w:tcPr>
            <w:tcW w:type="dxa" w:w="1500"/>
            <w:tcMar>
              <w:top w:w="80" w:type="dxa"/>
              <w:start w:w="120" w:type="dxa"/>
              <w:bottom w:w="80" w:type="dxa"/>
              <w:end w:w="120" w:type="dxa"/>
            </w:tcMar>
            <w:vAlign w:val="center"/>
          </w:tcPr>
          <w:p>
            <w:r>
              <w:rPr>
                <w:sz w:val="18"/>
              </w:rPr>
              <w:t>2026-07-16</w:t>
            </w:r>
          </w:p>
        </w:tc>
        <w:tc>
          <w:tcPr>
            <w:tcW w:type="dxa" w:w="2700"/>
            <w:tcMar>
              <w:top w:w="80" w:type="dxa"/>
              <w:start w:w="120" w:type="dxa"/>
              <w:bottom w:w="80" w:type="dxa"/>
              <w:end w:w="120" w:type="dxa"/>
            </w:tcMar>
            <w:vAlign w:val="center"/>
          </w:tcPr>
          <w:p>
            <w:r>
              <w:rPr>
                <w:sz w:val="18"/>
              </w:rPr>
              <w:t>Cierre de auditoría</w:t>
            </w:r>
          </w:p>
        </w:tc>
        <w:tc>
          <w:tcPr>
            <w:tcW w:type="dxa" w:w="1100"/>
            <w:tcMar>
              <w:top w:w="80" w:type="dxa"/>
              <w:start w:w="120" w:type="dxa"/>
              <w:bottom w:w="80" w:type="dxa"/>
              <w:end w:w="120" w:type="dxa"/>
            </w:tcMar>
            <w:vAlign w:val="center"/>
          </w:tcPr>
          <w:p>
            <w:r>
              <w:rPr>
                <w:sz w:val="18"/>
              </w:rPr>
              <w:t>[x]</w:t>
            </w:r>
          </w:p>
        </w:tc>
        <w:tc>
          <w:tcPr>
            <w:tcW w:type="dxa" w:w="4060"/>
            <w:tcMar>
              <w:top w:w="80" w:type="dxa"/>
              <w:start w:w="120" w:type="dxa"/>
              <w:bottom w:w="80" w:type="dxa"/>
              <w:end w:w="120" w:type="dxa"/>
            </w:tcMar>
            <w:vAlign w:val="center"/>
          </w:tcPr>
          <w:p>
            <w:r>
              <w:rPr>
                <w:sz w:val="18"/>
              </w:rPr>
              <w:t>Bloques 0–7 cerrados; checklists sincronizados.</w:t>
            </w:r>
          </w:p>
        </w:tc>
      </w:tr>
      <w:tr>
        <w:tc>
          <w:tcPr>
            <w:tcW w:type="dxa" w:w="1500"/>
            <w:tcMar>
              <w:top w:w="80" w:type="dxa"/>
              <w:start w:w="120" w:type="dxa"/>
              <w:bottom w:w="80" w:type="dxa"/>
              <w:end w:w="120" w:type="dxa"/>
            </w:tcMar>
            <w:vAlign w:val="center"/>
          </w:tcPr>
          <w:p>
            <w:r>
              <w:rPr>
                <w:sz w:val="18"/>
              </w:rPr>
              <w:t>Próxima revisión</w:t>
            </w:r>
          </w:p>
        </w:tc>
        <w:tc>
          <w:tcPr>
            <w:tcW w:type="dxa" w:w="2700"/>
            <w:tcMar>
              <w:top w:w="80" w:type="dxa"/>
              <w:start w:w="120" w:type="dxa"/>
              <w:bottom w:w="80" w:type="dxa"/>
              <w:end w:w="120" w:type="dxa"/>
            </w:tcMar>
            <w:vAlign w:val="center"/>
          </w:tcPr>
          <w:p>
            <w:r>
              <w:rPr>
                <w:sz w:val="18"/>
              </w:rPr>
              <w:t>Definición de fase posterior</w:t>
            </w:r>
          </w:p>
        </w:tc>
        <w:tc>
          <w:tcPr>
            <w:tcW w:type="dxa" w:w="1100"/>
            <w:tcMar>
              <w:top w:w="80" w:type="dxa"/>
              <w:start w:w="120" w:type="dxa"/>
              <w:bottom w:w="80" w:type="dxa"/>
              <w:end w:w="120" w:type="dxa"/>
            </w:tcMar>
            <w:vAlign w:val="center"/>
          </w:tcPr>
          <w:p>
            <w:r>
              <w:rPr>
                <w:sz w:val="18"/>
              </w:rPr>
              <w:t>[ ]</w:t>
            </w:r>
          </w:p>
        </w:tc>
        <w:tc>
          <w:tcPr>
            <w:tcW w:type="dxa" w:w="4060"/>
            <w:tcMar>
              <w:top w:w="80" w:type="dxa"/>
              <w:start w:w="120" w:type="dxa"/>
              <w:bottom w:w="80" w:type="dxa"/>
              <w:end w:w="120" w:type="dxa"/>
            </w:tcMar>
            <w:vAlign w:val="center"/>
          </w:tcPr>
          <w:p>
            <w:r>
              <w:rPr>
                <w:sz w:val="18"/>
              </w:rPr>
              <w:t>ADR y checklist de nuevo alcance.</w:t>
            </w:r>
          </w:p>
        </w:tc>
      </w:tr>
    </w:tbl>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Actualizado el 16 de julio de 2026 · Estado: MVP vigente completado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SSA · Checklist de control del proyecto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