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4"/>
        </w:rPr>
        <w:t>Checklist de Control del Proyecto SSA</w:t>
      </w:r>
    </w:p>
    <w:p>
      <w:pPr>
        <w:jc w:val="center"/>
      </w:pPr>
      <w:r>
        <w:rPr>
          <w:sz w:val="26"/>
        </w:rPr>
        <w:t>Plataforma de Gestión, Comunicación y Educación para la Salud</w:t>
      </w:r>
    </w:p>
    <w:p>
      <w:pPr>
        <w:jc w:val="center"/>
      </w:pPr>
      <w:r>
        <w:rPr>
          <w:color w:val="666666"/>
          <w:sz w:val="20"/>
        </w:rPr>
        <w:t>Jurisdicción Sanitaria de Huejutla de Reyes, Hidalgo · Versión 1.0</w:t>
      </w:r>
    </w:p>
    <w:p>
      <w:pPr>
        <w:pStyle w:val="Heading1"/>
      </w:pPr>
      <w:r>
        <w:t>Dictamen ejecutivo</w:t>
      </w:r>
    </w:p>
    <w:p>
      <w:r>
        <w:t>La documentación base está completa y consistente para iniciar el MVP. El proyecto no cuenta todavía con código de aplicación, migraciones, infraestructura ni ambientes reales. La etapa actual es Implementation / Phase 10, en Slice 0 — Preparación controlada.</w:t>
      </w:r>
    </w:p>
    <w:p>
      <w:r>
        <w:t>Ubicación real: baseline documental completa → implementation-start aprobado → Slice 0 autorizado → preparación técnica pendiente → código pendiente.</w:t>
      </w:r>
    </w:p>
    <w:p>
      <w:r>
        <w:t>Porcentaje recomendado para seguimiento: 35% del proyecto total completado (documentación y diseño terminados; ejecución, pruebas y operación pendientes). No debe reportarse como 90% o 100%, porque el valor para usuarios aún no está implementado.</w:t>
      </w:r>
    </w:p>
    <w:p>
      <w:pPr>
        <w:pStyle w:val="Heading2"/>
      </w:pPr>
      <w:r>
        <w:t>Semáforo actual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Estado</w:t>
            </w:r>
          </w:p>
        </w:tc>
        <w:tc>
          <w:tcPr>
            <w:tcW w:type="dxa" w:w="288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Interpretación</w:t>
            </w:r>
          </w:p>
        </w:tc>
        <w:tc>
          <w:tcPr>
            <w:tcW w:type="dxa" w:w="25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Uso en control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VERDE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Foundation, producto, dominio, arquitectura, base de datos, API, frontend, backend, IA y DevOps documentados.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Conservar como baseline; no reabrir sin ADR.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Carpetas docs/00 a docs/09.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ÁMBAR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Implementation tiene plan y checklist, pero solo Slice 0 está autorizado.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Ejecutar únicamente preparación de repositorio y revisión estática.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implementation-start.md y checklist.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ROJO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No existe app React/NestJS, base PostgreSQL conectada, migración, CI ni despliegue.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No declarar MVP funcional ni habilitar IA.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README y checklist operativo.</w:t>
            </w:r>
          </w:p>
        </w:tc>
      </w:tr>
    </w:tbl>
    <w:p>
      <w:pPr>
        <w:pStyle w:val="Heading1"/>
      </w:pPr>
      <w:r>
        <w:t>Metodología que ya sigue el proyecto</w:t>
      </w:r>
    </w:p>
    <w:p>
      <w:r>
        <w:t>La documentación adopta un enfoque secuencial de baseline (producto → dominio → arquitectura → base de datos → API → frontend → backend → DevOps) y una ejecución incremental mediante vertical slices. No es Scrum formalmente descrito; es un proceso de arquitectura dirigida por dominio, con monolito modular, Clean Architecture y DDD Lite.</w:t>
      </w:r>
    </w:p>
    <w:p>
      <w:r>
        <w:t>Regla operativa: cada slice debe producir un resultado verificable, conservar las decisiones del dominio y cerrar evidencia antes de iniciar el siguiente. La publicación pública no puede avanzar sin soporte mínimo de fuente, validación y trazabilidad.</w:t>
      </w:r>
    </w:p>
    <w:p>
      <w:pPr>
        <w:pStyle w:val="Heading1"/>
      </w:pPr>
      <w:r>
        <w:t>Estimación para terminar el MVP</w:t>
      </w:r>
    </w:p>
    <w:p>
      <w:r>
        <w:t>Estimación de trabajo restante: 8–12 semanas-persona de desarrollo, incluyendo pruebas, endurecimiento y despliegue controlado. Con una persona a tiempo completo y decisiones rápidas: 8–10 semanas calendario; con dedicación parcial: 12–16 semanas. La estimación documental original de “aproximadamente un mes” solo sería viable con alcance muy estricto, infraestructura resuelta y al menos dos perfiles trabajando en paralelo.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Bloque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Duración estimada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Dependencia</w:t>
            </w:r>
          </w:p>
        </w:tc>
        <w:tc>
          <w:tcPr>
            <w:tcW w:type="dxa" w:w="3168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Salida verificable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Slice 0 + decisiones técnicas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3–5 días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Rama, PostgreSQL local, autorización Prisma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Monorepo, .env.example, schema revisado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Base, Prisma y autenticación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1–2 semanas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Autorización Prisma y primer admin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Login, refresh, /me, rutas protegidas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Núcleo editorial confiable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2–3 semanas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Auth y DB local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Content + Source + Validation + trazabilidad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Publicación y portal público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1–2 semanas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Núcleo editorial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Publicación, detalle, búsqueda básica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Multimedia, clasificación, timeline y canales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2–3 semanas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Publicación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Capacidades MVP restantes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E2E, seguridad, CI y despliegue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1–2 semanas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Proveedor / staging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MVP probado y operable</w:t>
            </w:r>
          </w:p>
        </w:tc>
      </w:tr>
    </w:tbl>
    <w:p>
      <w:pPr>
        <w:pStyle w:val="Heading1"/>
      </w:pPr>
      <w:r>
        <w:t>Decisiones que deben resolverse antes de avanzar</w:t>
      </w:r>
    </w:p>
    <w:p>
      <w:pPr>
        <w:pStyle w:val="Heading2"/>
      </w:pPr>
      <w:r>
        <w:t>Gate A — autorización de ejecución real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Confirmar rama de trabajo y responsable técnico.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Autorizar creación de la estructura técnica y dependencias del monorepo.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Definir PostgreSQL local (Docker o instalación local) y datos no productivos.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Autorizar el ciclo Prisma por etapas: validate → generate → migración local.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Definir mecanismo técnico controlado para el primer usuario administrador.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Elegir almacenamiento multimedia inicial y criterio de persistencia/respaldo.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Definir entorno de validación (development/staging) y responsable de aprobación.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Slice 0 — preparación controlada (autorizado)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Confirmar rama de trabajo.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Crear package.json raíz y workspace pnpm.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Crear apps/web, apps/api, packages/shared y prisma.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Copiar o mover schema de referencia a prisma/schema.prisma sin modificar dominio.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Crear .env.example sin secretos.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Documentar scripts base y versión Node LTS.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Revisar schema.prisma de forma estática.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Registrar contradicciones documentales, si existen.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Cerrar Slice 0: repositorio preparado, sin migraciones, seeds, DB real ni despliegue.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Slice 1 — backend base y health check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Crear backend NestJS con TypeScript strict.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Configurar variables de entorno, validación global y manejo de errores.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Implementar endpoint técnico /health sin datos sensibles.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Verificar arranque local y registrar evidencia.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Slice 2 — Prisma local controlado (requiere nueva autorización)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Autorizar comandos Prisma.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Ejecutar prisma validate y corregir problemas documentados.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Ejecutar prisma generate y configurar conexión PostgreSQL local.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Crear y probar migración solo en ambiente local.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Definir procedimiento de rollback de migración.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Slice 3 — autenticación administrativa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Implementar login, refresh, logout y /auth/me.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Usar Argon2, JWT y refresh token HttpOnly.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Proteger /api/v1/admin/*.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Crear primer administrador mediante mecanismo fuera de API pública.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Confirmar: no existe registro público.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Slices 4–6 — núcleo editorial y consulta pública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Gestionar Content sin publicación automática.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Gestionar Source, Validation y trazabilidad mínima.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Crear Publication separada de Content, con slug y ciclo de vigencia.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Exponer listado, detalle y búsqueda pública.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Comprobar que borradores y datos administrativos no se exponen.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Slices 7–12 — capacidades complementarias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Implementar MediaResource detrás de StorageProvider.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Implementar ContentType, Category y Tag.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Implementar Campaign y Disease como entidades organizadoras.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Implementar TimelineEvent con multimedia propia.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Registrar distribución manual/asistida por CommunicationChannel.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Completar trazabilidad mínima para creación, validación, publicación, retiro y archivado.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Slice 13 — cierre MVP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Probar flujo E2E: login → content → fuente/validación → publicación → consulta pública.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Revisar seguridad: CORS, cookies, secretos, logs, sanitización y no registro.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Configurar CI básico.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Validar backup PostgreSQL y multimedia.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Desplegar de forma controlada y comprobar rollback básico.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Realizar aceptación institucional y actualizar el control de avance.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Límites que deben preservarse</w:t>
      </w:r>
    </w:p>
    <w:p>
      <w:r>
        <w:t>No introducir en MVP: chatbot, RAG funcional, embeddings, pgvector, búsqueda semántica, roles avanzados, workflow editorial multinivel, auditoría avanzada, integración automática completa con redes sociales, Kubernetes o servicios clínicos (expediente, diagnóstico, consulta o citas).</w:t>
      </w:r>
    </w:p>
    <w:p>
      <w:r>
        <w:t>No romper: Content ≠ Publication; Campaign/Disease ≠ categorías ni contenido; Source ≠ Validation; TraceabilityRecord ≠ auditoría avanzada; los canales distribuyen, no son la fuente de verdad.</w:t>
      </w:r>
    </w:p>
    <w:p>
      <w:pPr>
        <w:pStyle w:val="Heading1"/>
      </w:pPr>
      <w:r>
        <w:t>Uso recomendado de herramientas de 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Herramienta</w:t>
            </w:r>
          </w:p>
        </w:tc>
        <w:tc>
          <w:tcPr>
            <w:tcW w:type="dxa" w:w="324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Uso recomendado en SSA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Material necesario</w:t>
            </w:r>
          </w:p>
        </w:tc>
        <w:tc>
          <w:tcPr>
            <w:tcW w:type="dxa" w:w="2015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Control obligatorio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Codex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Conductor principal: crear slices, editar repositorio, ejecutar pruebas, revisar cambios y mantener docs sincronizadas.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Sí: los documentos actuales ya sirven. Añadir AGENTS.md operativo y decisiones/ADRs nuevas.</w:t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Un slice por tarea; revisar diff y pruebas antes de aceptar.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Google Antigravity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Alternativa de IDE con agentes para exploración, scaffolding y pruebas locales. Útil si se trabaja visualmente en Windows.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Sí: clonar el repo y entregar README, AGENTS.md y docs/10-implementation como contexto.</w:t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No otorgar secretos ni permitir migraciones/despliegues sin aprobación.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Claude Code (asumo que “Cloud Code” se refiere a Claude Code)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Segundo revisor o ejecutor terminal para tareas acotadas: tests, refactor, documentación y PRs.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Sí: crear CLAUDE.md conciso que enlace decisiones inmutables y comandos permitidos.</w:t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Misma política de ramas, revisión humana y comandos con permiso explícito.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Google Cloud Code, si esa era la herramienta buscada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Solo para integración con Google Cloud cuando ya exista proveedor elegido. No es necesario en Slice 0 ni para el MVP local.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Faltan: proveedor, arquitectura de despliegue y credenciales de ambiente.</w:t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Posponer hasta el gate de staging/despliegue.</w:t>
            </w:r>
          </w:p>
        </w:tc>
      </w:tr>
    </w:tbl>
    <w:p>
      <w:pPr>
        <w:pStyle w:val="Heading2"/>
      </w:pPr>
      <w:r>
        <w:t>Paquete mínimo de contexto para cualquier agente</w:t>
      </w:r>
    </w:p>
    <w:p>
      <w:pPr>
        <w:pStyle w:val="Heading2"/>
      </w:pPr>
      <w:r>
        <w:t>Archivos a mantener en la raíz del repositorio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03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☐</w:t>
            </w:r>
          </w:p>
        </w:tc>
        <w:tc>
          <w:tcPr>
            <w:tcW w:type="dxa" w:w="4031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Actividad / criterio de aceptación</w:t>
            </w:r>
          </w:p>
        </w:tc>
        <w:tc>
          <w:tcPr>
            <w:tcW w:type="dxa" w:w="1800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 o enlace</w:t>
            </w:r>
          </w:p>
        </w:tc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Fecha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Notas / bloqueo</w:t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README.md actualizado con estado y comandos permitidos.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AGENTS.md con restricciones del proyecto y definición de “hecho”.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docs/10-implementation/implementation-start.md e implementation-checklist.md como ruta operativa.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docs/decisions/ADR-XXX.md para cualquier excepción o contradicción.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CLAUDE.md (si se usa Claude Code) con las mismas reglas operativas.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.env.example sin secretos; nunca adjuntar .env real ni respaldos productivos.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3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4031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CONTRIBUTING.md con estrategia de ramas, revisión y pruebas mínimas.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Método de trabajo recomendado con IA</w:t>
      </w:r>
    </w:p>
    <w:p>
      <w:pPr>
        <w:pStyle w:val="ListNumber"/>
      </w:pPr>
      <w:r>
        <w:t>Preparar el repositorio con los documentos de contexto y una rama por slice.</w:t>
      </w:r>
    </w:p>
    <w:p>
      <w:pPr>
        <w:pStyle w:val="ListNumber"/>
      </w:pPr>
      <w:r>
        <w:t>Abrir un ticket/slice con objetivo, fuera de alcance, criterios de aceptación y comandos autorizados.</w:t>
      </w:r>
    </w:p>
    <w:p>
      <w:pPr>
        <w:pStyle w:val="ListNumber"/>
      </w:pPr>
      <w:r>
        <w:t>Pedir al agente primero un plan y los archivos que modificará; no pedir “construye todo el proyecto”.</w:t>
      </w:r>
    </w:p>
    <w:p>
      <w:pPr>
        <w:pStyle w:val="ListNumber"/>
      </w:pPr>
      <w:r>
        <w:t>Implementar una capacidad vertical pequeña; ejecutar lint, pruebas y verificación manual.</w:t>
      </w:r>
    </w:p>
    <w:p>
      <w:pPr>
        <w:pStyle w:val="ListNumber"/>
      </w:pPr>
      <w:r>
        <w:t>Revisar el diff contra las decisiones de dominio y el contrato API; rechazar desviaciones silenciosas.</w:t>
      </w:r>
    </w:p>
    <w:p>
      <w:pPr>
        <w:pStyle w:val="ListNumber"/>
      </w:pPr>
      <w:r>
        <w:t>Actualizar checklist, ADR si aplica y evidencia de pruebas.</w:t>
      </w:r>
    </w:p>
    <w:p>
      <w:pPr>
        <w:pStyle w:val="ListNumber"/>
      </w:pPr>
      <w:r>
        <w:t>Solo después abrir el siguiente slice. Para migraciones, secretos, infraestructura y despliegue: autorización explícita separada.</w:t>
      </w:r>
    </w:p>
    <w:p>
      <w:pPr>
        <w:pStyle w:val="Heading1"/>
      </w:pPr>
      <w:r>
        <w:t>Registro semanal de avance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79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Semana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Slice/hito</w:t>
            </w:r>
          </w:p>
        </w:tc>
        <w:tc>
          <w:tcPr>
            <w:tcW w:type="dxa" w:w="936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% real</w:t>
            </w:r>
          </w:p>
        </w:tc>
        <w:tc>
          <w:tcPr>
            <w:tcW w:type="dxa" w:w="2015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Riesgos</w:t>
            </w:r>
          </w:p>
        </w:tc>
        <w:tc>
          <w:tcPr>
            <w:tcW w:type="dxa" w:w="223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Decisión requerida</w:t>
            </w:r>
          </w:p>
        </w:tc>
        <w:tc>
          <w:tcPr>
            <w:tcW w:type="dxa" w:w="1152"/>
            <w:shd w:fill="F2F4F7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F4D78"/>
                <w:sz w:val="18"/>
              </w:rPr>
              <w:t>Evidencia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015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Documento de control · 10 julio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SSA · Control de implementación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