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系统设计说明书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面向汽车销售直播的本地智能体技术设计说明书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v1.2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设计结论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系统以本地可控为主线，把知识入库、检索问答、流式语音和动态改稿放在同一条可追踪链路中。比赛现场可从资料导入一路演示到文字与语音输出。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项目概述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汽车直播的核心矛盾不是单纯生成文本，而是在资料变化快、直播节奏快、主播需要随时改稿的情况下，仍要保证答案有出处、语音能连续播放、修改不会截断正在播报的句子。本项目提供一个运行在本机的智能体原型，覆盖“资料导入 - 检索问答 - 脚本播报 - 动态修订 - 音色管理”五个环节。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1.1 建设目标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 PDF、DOCX、TXT 资料可以批量导入、清洗、分段、结构化保存，并保留文档、页码、版本等证据。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让检索问答输出答案、置信度和来源片段，测试样本不少于 40 条，准确率目标不低于 85%。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让脚本在音频生成的同时开始播放，首个可播放音频延迟不超过 3 秒；改稿只影响尚未播放的后续内容。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让授权参考音频经过质量门禁和 v2ProPlus 推理链路后接入直播台，多套音色可切换，失败时保留文字和浏览器语音回退。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1.2 业务边界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400"/>
        <w:gridCol w:w="4300"/>
        <w:gridCol w:w="3660"/>
      </w:tblGrid>
      <w:tr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范围</w:t>
            </w:r>
          </w:p>
        </w:tc>
        <w:tc>
          <w:tcPr>
            <w:tcW w:type="dxa" w:w="4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本项目负责</w:t>
            </w:r>
          </w:p>
        </w:tc>
        <w:tc>
          <w:tcPr>
            <w:tcW w:type="dxa" w:w="36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明确不负责</w:t>
            </w:r>
          </w:p>
        </w:tc>
      </w:tr>
      <w:tr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资料</w:t>
            </w:r>
          </w:p>
        </w:tc>
        <w:tc>
          <w:tcPr>
            <w:tcW w:type="dxa" w:w="4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公开车型资料的导入、检索、来源展示</w:t>
            </w:r>
          </w:p>
        </w:tc>
        <w:tc>
          <w:tcPr>
            <w:tcW w:type="dxa" w:w="36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未经授权的内部政策与个人资料外发</w:t>
            </w:r>
          </w:p>
        </w:tc>
      </w:tr>
      <w:tr>
        <w:tc>
          <w:tcPr>
            <w:tcW w:type="dxa" w:w="14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语音</w:t>
            </w:r>
          </w:p>
        </w:tc>
        <w:tc>
          <w:tcPr>
            <w:tcW w:type="dxa" w:w="4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参考音频克隆、PCM 流式播报、质量诊断</w:t>
            </w:r>
          </w:p>
        </w:tc>
        <w:tc>
          <w:tcPr>
            <w:tcW w:type="dxa" w:w="36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替代专业录音棚或大规模训练平台</w:t>
            </w:r>
          </w:p>
        </w:tc>
      </w:tr>
      <w:tr>
        <w:tc>
          <w:tcPr>
            <w:tcW w:type="dxa" w:w="1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</w:t>
            </w:r>
          </w:p>
        </w:tc>
        <w:tc>
          <w:tcPr>
            <w:tcW w:type="dxa" w:w="4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脚本播报、动态改稿、问答语音</w:t>
            </w:r>
          </w:p>
        </w:tc>
        <w:tc>
          <w:tcPr>
            <w:tcW w:type="dxa" w:w="36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自动控制第三方直播平台账号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总体架构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系统采用前后端分层和本地服务组合。浏览器只负责交互和音频排程；FastAPI 负责会话、版本、检索和流式接口；SQLite 负责可追踪数据；GPT-SoVITS 负责克隆音色和生成 PCM WAV。模块之间以 HTTP/JSON 和流式字节协议连接，便于现场替换单个组件。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300"/>
        <w:gridCol w:w="2600"/>
        <w:gridCol w:w="3150"/>
        <w:gridCol w:w="2310"/>
      </w:tblGrid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层次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模块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输入/输出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故障策略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交互层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直播台、知识库、验证页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文本、文件、音频控制</w:t>
            </w:r>
          </w:p>
        </w:tc>
        <w:tc>
          <w:tcPr>
            <w:tcW w:type="dxa" w:w="2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TTS 不可达时保留文字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业务层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脚本会话、动态改稿、问答编排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会话版本、检索结果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使用本地抽取式问答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数据层</w:t>
            </w:r>
          </w:p>
        </w:tc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SQLite 文档、片段、版本、音色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结构化记录与溯源</w:t>
            </w:r>
          </w:p>
        </w:tc>
        <w:tc>
          <w:tcPr>
            <w:tcW w:type="dxa" w:w="23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保留原始文件和版本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模型层</w:t>
            </w:r>
          </w:p>
        </w:tc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 v2ProPlus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参考音频 + 文本 -&gt; PCM</w:t>
            </w:r>
          </w:p>
        </w:tc>
        <w:tc>
          <w:tcPr>
            <w:tcW w:type="dxa" w:w="23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回退预置音色或浏览器语音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2.1 关键数据流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资料流：文件上传 -&gt; 类型解析 -&gt; 文本清洗 -&gt; 片段切分 -&gt; 哈希向量 / 词法索引 -&gt; SQLite -&gt; 检索结果带来源。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播报流：脚本文本 -&gt; 自然停顿切分 -&gt; 请求 GPT-SoVITS -&gt; 去 WAV 头 -&gt; PCM 播放队列 -&gt; 句间短淡入淡出。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改稿流：编辑器产生新版本 -&gt; 计算当前安全边界 -&gt; 取消未提交请求 -&gt; 从下一个自然短语重新生成 -&gt; 播放队列继续。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音色流：参考音频预检 -&gt; 标准化 PCM 副本 -&gt; 文本一致性校验 -&gt; 音色记录与模型 profile -&gt; 预热 -&gt; 试听 / 直播复用。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功能与模块设计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3.1 知识库与问答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导入器支持 PDF 页面文本、DOCX 段落与表格、TXT/MD 纯文本。清洗阶段统一空白、去除孤立符号并按标题、标点和长度进行分段；结构化元数据包含品牌、车系、年款、文档版本和来源位置。检索采用词法命中与稳定哈希向量混合排序，答案生成优先使用字段级抽取，避免模型在关键参数上自行补写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3.2 流式 TTS 与动态改稿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播报默认使用 GPT-SoVITS v2ProPlus 的 mode 1 PCM 流。后端以自然停顿为边界形成约 16-20 字的短语，首个短语到达即发送；前端把后续 PCM 接入同一 AudioContext 的播放队列。句首和句尾使用 2 ms 淡入淡出，减少硬切造成的嗒声。改稿时保存会话版本和当前播放短语，只有安全边界之后的内容刷新。</w:t>
      </w:r>
    </w:p>
    <w:p>
      <w:pPr>
        <w:pStyle w:val="Heading2"/>
        <w:keepNext/>
        <w:spacing w:before="240" w:after="100" w:line="240" w:lineRule="auto"/>
      </w:pPr>
      <w:r>
        <w:rPr>
          <w:rFonts w:ascii="Times New Roman" w:hAnsi="Times New Roman" w:eastAsia="SimSun"/>
          <w:b/>
          <w:i w:val="0"/>
          <w:color w:val="454545"/>
          <w:sz w:val="27"/>
        </w:rPr>
        <w:t>3.3 音色克隆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参考音频需为单人、无配乐、普通话、逐字文本一致的 3-10 秒片段。系统会检测采样率、声道、位深、有效人声比例、静音比例、最长静音、响度、削波和文本时长密度；只生成标准化副本，不覆盖原文件。通过门禁后，音色以 voice profile 形式进入 GPT-SoVITS 请求，并在切换到直播前完成预热。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接口与状态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850"/>
        <w:gridCol w:w="3300"/>
        <w:gridCol w:w="3210"/>
      </w:tblGrid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接口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用途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关键返回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/api/documents/import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批量导入资料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document_id、片段数、版本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/api/query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车型检索问答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answer、confidence、sources[]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/api/tts/stream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自然短语 PCM 流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首包字节、音频分片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/api/voices/analyze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音频质量预检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quality、metrics、advice</w:t>
            </w:r>
          </w:p>
        </w:tc>
      </w:tr>
      <w:tr>
        <w:tc>
          <w:tcPr>
            <w:tcW w:type="dxa" w:w="28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/api/voices/clone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创建克隆音色</w:t>
            </w:r>
          </w:p>
        </w:tc>
        <w:tc>
          <w:tcPr>
            <w:tcW w:type="dxa" w:w="32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voice_id、profile、warming</w:t>
            </w:r>
          </w:p>
        </w:tc>
      </w:tr>
      <w:tr>
        <w:tc>
          <w:tcPr>
            <w:tcW w:type="dxa" w:w="28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POST /api/voices/{id}/optimize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生成优化副本</w:t>
            </w:r>
          </w:p>
        </w:tc>
        <w:tc>
          <w:tcPr>
            <w:tcW w:type="dxa" w:w="32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optimized_path、quality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可靠性、安全与合规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推理互斥：TTS 单模型推理锁避免预热、试听、验证和直播并发触发 GPT-SoVITS 限制。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可恢复：服务健康检查、启动脚本防重复锁、GPT-SoVITS 不可达时回退浏览器语音。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数据最小化：上传资料和参考音频默认仅保存在本机；外部大模型只有用户主动配置地址后才接收检索片段。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授权边界：参赛发布前删除真实个人音频和未授权资料；参考音频克隆仅用于获得授权的角色或主播。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验收指标与当前实测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500"/>
        <w:gridCol w:w="2250"/>
        <w:gridCol w:w="2700"/>
        <w:gridCol w:w="1910"/>
      </w:tblGrid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指标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目标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实测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结论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检索准确率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&gt;=85%，样本 &gt;=40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最终问答准确率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&gt;=85%，样本 &gt;=40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40/40，100%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TTS 首音频延迟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平均 2323 ms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22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当前句不截断</w:t>
            </w:r>
          </w:p>
        </w:tc>
        <w:tc>
          <w:tcPr>
            <w:tcW w:type="dxa" w:w="2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 1 -&gt; 2，安全句 1</w:t>
            </w:r>
          </w:p>
        </w:tc>
        <w:tc>
          <w:tcPr>
            <w:tcW w:type="dxa" w:w="1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单元测试</w:t>
            </w:r>
          </w:p>
        </w:tc>
        <w:tc>
          <w:tcPr>
            <w:tcW w:type="dxa" w:w="2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无失败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35/35 passed</w:t>
            </w:r>
          </w:p>
        </w:tc>
        <w:tc>
          <w:tcPr>
            <w:tcW w:type="dxa" w:w="1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达标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7 部署拓扑与演示入口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100"/>
        <w:gridCol w:w="3100"/>
        <w:gridCol w:w="4160"/>
      </w:tblGrid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服务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地址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作用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前端</w:t>
            </w:r>
          </w:p>
        </w:tc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http://127.0.0.1:5173</w:t>
            </w:r>
          </w:p>
        </w:tc>
        <w:tc>
          <w:tcPr>
            <w:tcW w:type="dxa" w:w="4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直播台、知识库、验证页</w:t>
            </w:r>
          </w:p>
        </w:tc>
      </w:tr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后端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http://127.0.0.1:8000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FastAPI 业务接口与 /docs</w:t>
            </w:r>
          </w:p>
        </w:tc>
      </w:tr>
      <w:tr>
        <w:tc>
          <w:tcPr>
            <w:tcW w:type="dxa" w:w="2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GPT-SoVITS</w:t>
            </w:r>
          </w:p>
        </w:tc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http://127.0.0.1:9880</w:t>
            </w:r>
          </w:p>
        </w:tc>
        <w:tc>
          <w:tcPr>
            <w:tcW w:type="dxa" w:w="4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v2ProPlus 克隆与合成</w:t>
            </w:r>
          </w:p>
        </w:tc>
      </w:tr>
      <w:tr>
        <w:tc>
          <w:tcPr>
            <w:tcW w:type="dxa" w:w="2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数据</w:t>
            </w:r>
          </w:p>
        </w:tc>
        <w:tc>
          <w:tcPr>
            <w:tcW w:type="dxa" w:w="3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data/、SQLite</w:t>
            </w:r>
          </w:p>
        </w:tc>
        <w:tc>
          <w:tcPr>
            <w:tcW w:type="dxa" w:w="41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示例资料、上传副本、版本记录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官方中文说明：https://github.com/RVC-Boss/GPT-SoVITS/blob/main/docs/cn/README.md（零样本约 5 秒、少样本约 1 分钟、环境与模型说明）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参赛题目文件：C:/Users/seele/Desktop/6.（海云捷迅）2026年第二届重庆市AI大模型创新应用大赛企业出题.docx（功能、指标与提交要求）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v1.2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系统设计说明书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