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80" w:line="283" w:lineRule="auto"/>
        <w:jc w:val="center"/>
      </w:pPr>
      <w:r>
        <w:rPr>
          <w:rFonts w:ascii="Times New Roman" w:hAnsi="Times New Roman" w:eastAsia="SimSun"/>
          <w:b/>
          <w:i w:val="0"/>
          <w:color w:val="666666"/>
          <w:sz w:val="20"/>
        </w:rPr>
        <w:t>重庆市 AI 大模型创新应用大赛</w:t>
      </w:r>
    </w:p>
    <w:p>
      <w:pPr>
        <w:spacing w:before="0" w:after="80" w:line="283" w:lineRule="auto"/>
        <w:jc w:val="center"/>
      </w:pPr>
      <w:r>
        <w:rPr>
          <w:rFonts w:ascii="Times New Roman" w:hAnsi="Times New Roman" w:eastAsia="SimSun"/>
          <w:b/>
          <w:i w:val="0"/>
          <w:color w:val="191919"/>
          <w:sz w:val="48"/>
        </w:rPr>
        <w:t>语音克隆拟人化优化方案</w:t>
      </w:r>
    </w:p>
    <w:p>
      <w:pPr>
        <w:spacing w:before="0" w:after="280" w:line="283" w:lineRule="auto"/>
        <w:jc w:val="center"/>
      </w:pPr>
      <w:r>
        <w:rPr>
          <w:rFonts w:ascii="Times New Roman" w:hAnsi="Times New Roman" w:eastAsia="SimSun"/>
          <w:b w:val="0"/>
          <w:i w:val="0"/>
          <w:color w:val="666666"/>
          <w:sz w:val="23"/>
        </w:rPr>
        <w:t>从参考音频门禁到直播音色复用的质量方案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1600"/>
        <w:gridCol w:w="7760"/>
      </w:tblGrid>
      <w:tr>
        <w:tc>
          <w:tcPr>
            <w:tcW w:type="dxa" w:w="16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文档属性</w:t>
            </w:r>
          </w:p>
        </w:tc>
        <w:tc>
          <w:tcPr>
            <w:tcW w:type="dxa" w:w="77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内容</w:t>
            </w:r>
          </w:p>
        </w:tc>
      </w:tr>
      <w:tr>
        <w:tc>
          <w:tcPr>
            <w:tcW w:type="dxa" w:w="1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项目</w:t>
            </w:r>
          </w:p>
        </w:tc>
        <w:tc>
          <w:tcPr>
            <w:tcW w:type="dxa" w:w="7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汽车直播智能体</w:t>
            </w:r>
          </w:p>
        </w:tc>
      </w:tr>
      <w:tr>
        <w:tc>
          <w:tcPr>
            <w:tcW w:type="dxa" w:w="16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版本</w:t>
            </w:r>
          </w:p>
        </w:tc>
        <w:tc>
          <w:tcPr>
            <w:tcW w:type="dxa" w:w="77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v1.2</w:t>
            </w:r>
          </w:p>
        </w:tc>
      </w:tr>
      <w:tr>
        <w:tc>
          <w:tcPr>
            <w:tcW w:type="dxa" w:w="1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编制日期</w:t>
            </w:r>
          </w:p>
        </w:tc>
        <w:tc>
          <w:tcPr>
            <w:tcW w:type="dxa" w:w="7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2026 年 8 月</w:t>
            </w:r>
          </w:p>
        </w:tc>
      </w:tr>
      <w:tr>
        <w:tc>
          <w:tcPr>
            <w:tcW w:type="dxa" w:w="16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适用范围</w:t>
            </w:r>
          </w:p>
        </w:tc>
        <w:tc>
          <w:tcPr>
            <w:tcW w:type="dxa" w:w="77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竞赛答辩、技术评审、现场演示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FFFFF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SimSun"/>
                <w:b/>
                <w:i w:val="0"/>
                <w:color w:val="262626"/>
                <w:sz w:val="20"/>
              </w:rPr>
              <w:t xml:space="preserve">质量原则  </w:t>
            </w: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20"/>
              </w:rPr>
              <w:t>音色相似度首先由参考音频和参考文字决定，随机性参数只能做小范围稳定性校准。系统因此把“样本质量、文本一致、模型 profile、预热状态”作为一条完整的质量门禁。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1  参考音频规范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1900"/>
        <w:gridCol w:w="3650"/>
        <w:gridCol w:w="3810"/>
      </w:tblGrid>
      <w:tr>
        <w:tc>
          <w:tcPr>
            <w:tcW w:type="dxa" w:w="19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检查项</w:t>
            </w:r>
          </w:p>
        </w:tc>
        <w:tc>
          <w:tcPr>
            <w:tcW w:type="dxa" w:w="365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建议范围</w:t>
            </w:r>
          </w:p>
        </w:tc>
        <w:tc>
          <w:tcPr>
            <w:tcW w:type="dxa" w:w="381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不通过时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时长</w:t>
            </w:r>
          </w:p>
        </w:tc>
        <w:tc>
          <w:tcPr>
            <w:tcW w:type="dxa" w:w="36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3-10 秒，单人连续语音</w:t>
            </w:r>
          </w:p>
        </w:tc>
        <w:tc>
          <w:tcPr>
            <w:tcW w:type="dxa" w:w="38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提示重新选择片段</w:t>
            </w:r>
          </w:p>
        </w:tc>
      </w:tr>
      <w:tr>
        <w:tc>
          <w:tcPr>
            <w:tcW w:type="dxa" w:w="19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格式</w:t>
            </w:r>
          </w:p>
        </w:tc>
        <w:tc>
          <w:tcPr>
            <w:tcW w:type="dxa" w:w="365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24 kHz、单声道、16-bit PCM WAV</w:t>
            </w:r>
          </w:p>
        </w:tc>
        <w:tc>
          <w:tcPr>
            <w:tcW w:type="dxa" w:w="381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生成标准化副本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内容</w:t>
            </w:r>
          </w:p>
        </w:tc>
        <w:tc>
          <w:tcPr>
            <w:tcW w:type="dxa" w:w="36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普通话、无配乐、无明显混响</w:t>
            </w:r>
          </w:p>
        </w:tc>
        <w:tc>
          <w:tcPr>
            <w:tcW w:type="dxa" w:w="38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标记建议优化</w:t>
            </w:r>
          </w:p>
        </w:tc>
      </w:tr>
      <w:tr>
        <w:tc>
          <w:tcPr>
            <w:tcW w:type="dxa" w:w="19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文字</w:t>
            </w:r>
          </w:p>
        </w:tc>
        <w:tc>
          <w:tcPr>
            <w:tcW w:type="dxa" w:w="365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逐字参考文本与录音一致</w:t>
            </w:r>
          </w:p>
        </w:tc>
        <w:tc>
          <w:tcPr>
            <w:tcW w:type="dxa" w:w="381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禁止直接进入播报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电平</w:t>
            </w:r>
          </w:p>
        </w:tc>
        <w:tc>
          <w:tcPr>
            <w:tcW w:type="dxa" w:w="36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无削波，保留峰值余量</w:t>
            </w:r>
          </w:p>
        </w:tc>
        <w:tc>
          <w:tcPr>
            <w:tcW w:type="dxa" w:w="38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提示重新录制或优化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2  样本质量诊断</w:t>
      </w:r>
    </w:p>
    <w:p>
      <w:pPr>
        <w:spacing w:before="0" w:after="120" w:line="283" w:lineRule="auto"/>
      </w:pPr>
      <w:r>
        <w:rPr>
          <w:rFonts w:ascii="Times New Roman" w:hAnsi="Times New Roman" w:eastAsia="SimSun"/>
          <w:b w:val="0"/>
          <w:i w:val="0"/>
          <w:color w:val="191919"/>
          <w:sz w:val="21"/>
        </w:rPr>
        <w:t>预检会计算 duration、channels、sample_width、sample_rate、active_ratio、silence_ratio、longest_silence、clipped_ratio、rms_db 和 peak_db，并将结果返回页面。对异常长内部静音只做温和压缩，保留短自然停顿，不强行降噪或改变频谱，避免“干净但不像”的过度处理。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指标</w:t>
            </w:r>
          </w:p>
        </w:tc>
        <w:tc>
          <w:tcPr>
            <w:tcW w:type="dxa" w:w="36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作用</w:t>
            </w:r>
          </w:p>
        </w:tc>
        <w:tc>
          <w:tcPr>
            <w:tcW w:type="dxa" w:w="35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门禁意义</w:t>
            </w:r>
          </w:p>
        </w:tc>
      </w:tr>
      <w:tr>
        <w:tc>
          <w:tcPr>
            <w:tcW w:type="dxa" w:w="22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active_ratio</w:t>
            </w:r>
          </w:p>
        </w:tc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有效人声占比</w:t>
            </w:r>
          </w:p>
        </w:tc>
        <w:tc>
          <w:tcPr>
            <w:tcW w:type="dxa" w:w="35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过低说明静音太多</w:t>
            </w:r>
          </w:p>
        </w:tc>
      </w:tr>
      <w:tr>
        <w:tc>
          <w:tcPr>
            <w:tcW w:type="dxa" w:w="22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longest_silence</w:t>
            </w:r>
          </w:p>
        </w:tc>
        <w:tc>
          <w:tcPr>
            <w:tcW w:type="dxa" w:w="36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最长内部静音</w:t>
            </w:r>
          </w:p>
        </w:tc>
        <w:tc>
          <w:tcPr>
            <w:tcW w:type="dxa" w:w="35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过长会影响节奏学习</w:t>
            </w:r>
          </w:p>
        </w:tc>
      </w:tr>
      <w:tr>
        <w:tc>
          <w:tcPr>
            <w:tcW w:type="dxa" w:w="22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clipped_ratio</w:t>
            </w:r>
          </w:p>
        </w:tc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削波比例</w:t>
            </w:r>
          </w:p>
        </w:tc>
        <w:tc>
          <w:tcPr>
            <w:tcW w:type="dxa" w:w="35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大于 0 可能带来电音</w:t>
            </w:r>
          </w:p>
        </w:tc>
      </w:tr>
      <w:tr>
        <w:tc>
          <w:tcPr>
            <w:tcW w:type="dxa" w:w="22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rms_db / peak_db</w:t>
            </w:r>
          </w:p>
        </w:tc>
        <w:tc>
          <w:tcPr>
            <w:tcW w:type="dxa" w:w="36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整体响度与峰值</w:t>
            </w:r>
          </w:p>
        </w:tc>
        <w:tc>
          <w:tcPr>
            <w:tcW w:type="dxa" w:w="35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避免输入过小或爆音</w:t>
            </w:r>
          </w:p>
        </w:tc>
      </w:tr>
      <w:tr>
        <w:tc>
          <w:tcPr>
            <w:tcW w:type="dxa" w:w="22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chars_per_second</w:t>
            </w:r>
          </w:p>
        </w:tc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文本与时长密度</w:t>
            </w:r>
          </w:p>
        </w:tc>
        <w:tc>
          <w:tcPr>
            <w:tcW w:type="dxa" w:w="35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检测参考文字是否匹配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3  音色 profile 与稳定性</w:t>
      </w:r>
    </w:p>
    <w:p>
      <w:pPr>
        <w:spacing w:before="0" w:after="120" w:line="283" w:lineRule="auto"/>
      </w:pPr>
      <w:r>
        <w:rPr>
          <w:rFonts w:ascii="Times New Roman" w:hAnsi="Times New Roman" w:eastAsia="SimSun"/>
          <w:b w:val="0"/>
          <w:i w:val="0"/>
          <w:color w:val="191919"/>
          <w:sz w:val="21"/>
        </w:rPr>
        <w:t>每个克隆音色保存 prompt_text、prompt_lang、model_profile、参考音频计数和采样参数。系统先将音色绑定到 base 或角色专用 profile，再预热 GPT-SoVITS；直播、试听、验证统一复用 profile，避免临时切权重造成首句卡顿和音色漂移。top_p、temperature、repetition_penalty 只在样本分析后做有限校准，优先保证音色和发音稳定。</w:t>
      </w: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4  多参考音频策略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同一说话人可提供 1-2 条文本不同、音量接近的参考片段，用于增强音色覆盖。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不同说话人不得混用；系统按 voice_id 和 model_profile 隔离。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男声低频不足时，优先检查原音频是否经过压缩、背景音乐或过度降噪，再调整模型 profile。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角色化语气较强的样本需要同时准备平稳陈述句，避免模型把单一情绪误学成固定升调。</w:t>
      </w: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5  与流式播报打通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1700"/>
        <w:gridCol w:w="4750"/>
        <w:gridCol w:w="2910"/>
      </w:tblGrid>
      <w:tr>
        <w:tc>
          <w:tcPr>
            <w:tcW w:type="dxa" w:w="17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阶段</w:t>
            </w:r>
          </w:p>
        </w:tc>
        <w:tc>
          <w:tcPr>
            <w:tcW w:type="dxa" w:w="475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动作</w:t>
            </w:r>
          </w:p>
        </w:tc>
        <w:tc>
          <w:tcPr>
            <w:tcW w:type="dxa" w:w="291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状态</w:t>
            </w:r>
          </w:p>
        </w:tc>
      </w:tr>
      <w:tr>
        <w:tc>
          <w:tcPr>
            <w:tcW w:type="dxa" w:w="1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上传</w:t>
            </w:r>
          </w:p>
        </w:tc>
        <w:tc>
          <w:tcPr>
            <w:tcW w:type="dxa" w:w="47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保存原文件，生成标准化副本</w:t>
            </w:r>
          </w:p>
        </w:tc>
        <w:tc>
          <w:tcPr>
            <w:tcW w:type="dxa" w:w="29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uploaded</w:t>
            </w:r>
          </w:p>
        </w:tc>
      </w:tr>
      <w:tr>
        <w:tc>
          <w:tcPr>
            <w:tcW w:type="dxa" w:w="17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分析</w:t>
            </w:r>
          </w:p>
        </w:tc>
        <w:tc>
          <w:tcPr>
            <w:tcW w:type="dxa" w:w="475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质量指标与参考文本校验</w:t>
            </w:r>
          </w:p>
        </w:tc>
        <w:tc>
          <w:tcPr>
            <w:tcW w:type="dxa" w:w="291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ready / needs_optimization</w:t>
            </w:r>
          </w:p>
        </w:tc>
      </w:tr>
      <w:tr>
        <w:tc>
          <w:tcPr>
            <w:tcW w:type="dxa" w:w="1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创建</w:t>
            </w:r>
          </w:p>
        </w:tc>
        <w:tc>
          <w:tcPr>
            <w:tcW w:type="dxa" w:w="47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绑定 GPT-SoVITS profile</w:t>
            </w:r>
          </w:p>
        </w:tc>
        <w:tc>
          <w:tcPr>
            <w:tcW w:type="dxa" w:w="29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warming</w:t>
            </w:r>
          </w:p>
        </w:tc>
      </w:tr>
      <w:tr>
        <w:tc>
          <w:tcPr>
            <w:tcW w:type="dxa" w:w="17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预热</w:t>
            </w:r>
          </w:p>
        </w:tc>
        <w:tc>
          <w:tcPr>
            <w:tcW w:type="dxa" w:w="475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调用一次短句并缓存模型状态</w:t>
            </w:r>
          </w:p>
        </w:tc>
        <w:tc>
          <w:tcPr>
            <w:tcW w:type="dxa" w:w="291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warmed</w:t>
            </w:r>
          </w:p>
        </w:tc>
      </w:tr>
      <w:tr>
        <w:tc>
          <w:tcPr>
            <w:tcW w:type="dxa" w:w="1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直播</w:t>
            </w:r>
          </w:p>
        </w:tc>
        <w:tc>
          <w:tcPr>
            <w:tcW w:type="dxa" w:w="47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使用同一 voice_id 进入 PCM 流</w:t>
            </w:r>
          </w:p>
        </w:tc>
        <w:tc>
          <w:tcPr>
            <w:tcW w:type="dxa" w:w="29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broadcast_ready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6  当前验证与主观评测</w:t>
      </w:r>
    </w:p>
    <w:p>
      <w:pPr>
        <w:spacing w:before="0" w:after="120" w:line="283" w:lineRule="auto"/>
      </w:pPr>
      <w:r>
        <w:rPr>
          <w:rFonts w:ascii="Times New Roman" w:hAnsi="Times New Roman" w:eastAsia="SimSun"/>
          <w:b w:val="0"/>
          <w:i w:val="0"/>
          <w:color w:val="191919"/>
          <w:sz w:val="21"/>
        </w:rPr>
        <w:t>当前系统登记 6 套克隆音色，状态均为 ready；昔涟使用独立 xilian profile 和 v2ProPlus 微调权重，其他音色使用 base profile。机器验收覆盖格式和延迟，主观评测仍需至少 3 名听测者在同一设备、同一文案下填写音色相似度、清晰度、自然停顿、情绪节奏和整体拟人度。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2600"/>
        <w:gridCol w:w="1900"/>
        <w:gridCol w:w="4860"/>
      </w:tblGrid>
      <w:tr>
        <w:tc>
          <w:tcPr>
            <w:tcW w:type="dxa" w:w="26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验证项</w:t>
            </w:r>
          </w:p>
        </w:tc>
        <w:tc>
          <w:tcPr>
            <w:tcW w:type="dxa" w:w="19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结果</w:t>
            </w:r>
          </w:p>
        </w:tc>
        <w:tc>
          <w:tcPr>
            <w:tcW w:type="dxa" w:w="48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说明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克隆音色数量</w:t>
            </w:r>
          </w:p>
        </w:tc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6</w:t>
            </w:r>
          </w:p>
        </w:tc>
        <w:tc>
          <w:tcPr>
            <w:tcW w:type="dxa" w:w="4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voice profile 可切换</w:t>
            </w:r>
          </w:p>
        </w:tc>
      </w:tr>
      <w:tr>
        <w:tc>
          <w:tcPr>
            <w:tcW w:type="dxa" w:w="26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质量状态</w:t>
            </w:r>
          </w:p>
        </w:tc>
        <w:tc>
          <w:tcPr>
            <w:tcW w:type="dxa" w:w="19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ready</w:t>
            </w:r>
          </w:p>
        </w:tc>
        <w:tc>
          <w:tcPr>
            <w:tcW w:type="dxa" w:w="48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标准 PCM WAV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模型</w:t>
            </w:r>
          </w:p>
        </w:tc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v2ProPlus</w:t>
            </w:r>
          </w:p>
        </w:tc>
        <w:tc>
          <w:tcPr>
            <w:tcW w:type="dxa" w:w="4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本地 9880 服务</w:t>
            </w:r>
          </w:p>
        </w:tc>
      </w:tr>
      <w:tr>
        <w:tc>
          <w:tcPr>
            <w:tcW w:type="dxa" w:w="26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预热</w:t>
            </w:r>
          </w:p>
        </w:tc>
        <w:tc>
          <w:tcPr>
            <w:tcW w:type="dxa" w:w="19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warmed</w:t>
            </w:r>
          </w:p>
        </w:tc>
        <w:tc>
          <w:tcPr>
            <w:tcW w:type="dxa" w:w="48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直播首句减少冷启动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主观评测</w:t>
            </w:r>
          </w:p>
        </w:tc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待补 3 人</w:t>
            </w:r>
          </w:p>
        </w:tc>
        <w:tc>
          <w:tcPr>
            <w:tcW w:type="dxa" w:w="4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提交前填写评分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7  合规与风险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只对获得授权的参考音频执行克隆；参赛材料不携带真实个人音频。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克隆音色默认本地保存，不自动上传第三方；若配置外部模型，需在部署说明中明确数据边界。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模型版本、权重路径和参考文本应随交付包记录，避免现场机器出现“同名不同模型”。</w:t>
      </w: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参考资料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GPT-SoVITS 官方中文说明：https://github.com/RVC-Boss/GPT-SoVITS/blob/main/docs/cn/README.md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参赛题目文件：C:/Users/seele/Desktop/6.（海云捷迅）2026年第二届重庆市AI大模型创新应用大赛企业出题.docx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81" w:bottom="1008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Times New Roman" w:hAnsi="Times New Roman" w:eastAsia="SimSun"/>
        <w:b w:val="0"/>
        <w:i w:val="0"/>
        <w:color w:val="666666"/>
        <w:sz w:val="16"/>
      </w:rPr>
      <w:t>汽车直播智能体  ·  v1.2  ·  内部评审稿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Times New Roman" w:hAnsi="Times New Roman" w:eastAsia="SimSun"/>
        <w:b w:val="0"/>
        <w:i w:val="0"/>
        <w:color w:val="666666"/>
        <w:sz w:val="17"/>
      </w:rPr>
      <w:t>语音克隆拟人化优化方案  |  技术资料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SimSun"/>
      <w:b/>
      <w:bCs/>
      <w:color w:val="19191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SimSun"/>
      <w:b/>
      <w:bCs/>
      <w:color w:val="19191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SimSun"/>
      <w:b/>
      <w:bCs/>
      <w:color w:val="19191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