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80" w:line="283" w:lineRule="auto"/>
        <w:jc w:val="center"/>
      </w:pPr>
      <w:r>
        <w:rPr>
          <w:rFonts w:ascii="Times New Roman" w:hAnsi="Times New Roman" w:eastAsia="SimSun"/>
          <w:b/>
          <w:i w:val="0"/>
          <w:color w:val="666666"/>
          <w:sz w:val="20"/>
        </w:rPr>
        <w:t>重庆市 AI 大模型创新应用大赛</w:t>
      </w:r>
    </w:p>
    <w:p>
      <w:pPr>
        <w:spacing w:before="0" w:after="80" w:line="283" w:lineRule="auto"/>
        <w:jc w:val="center"/>
      </w:pPr>
      <w:r>
        <w:rPr>
          <w:rFonts w:ascii="Times New Roman" w:hAnsi="Times New Roman" w:eastAsia="SimSun"/>
          <w:b/>
          <w:i w:val="0"/>
          <w:color w:val="191919"/>
          <w:sz w:val="48"/>
        </w:rPr>
        <w:t>标准化功能测试报告</w:t>
      </w:r>
    </w:p>
    <w:p>
      <w:pPr>
        <w:spacing w:before="0" w:after="280" w:line="283" w:lineRule="auto"/>
        <w:jc w:val="center"/>
      </w:pPr>
      <w:r>
        <w:rPr>
          <w:rFonts w:ascii="Times New Roman" w:hAnsi="Times New Roman" w:eastAsia="SimSun"/>
          <w:b w:val="0"/>
          <w:i w:val="0"/>
          <w:color w:val="666666"/>
          <w:sz w:val="23"/>
        </w:rPr>
        <w:t>汽车直播智能体 v0.3.0 的可复现验收记录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600"/>
        <w:gridCol w:w="7760"/>
      </w:tblGrid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文档属性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内容</w:t>
            </w:r>
          </w:p>
        </w:tc>
      </w:tr>
      <w:t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项目</w:t>
            </w:r>
          </w:p>
        </w:tc>
        <w:tc>
          <w:tcPr>
            <w:tcW w:type="dxa" w:w="7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汽车直播智能体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版本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v1.2</w:t>
            </w:r>
          </w:p>
        </w:tc>
      </w:tr>
      <w:t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编制日期</w:t>
            </w:r>
          </w:p>
        </w:tc>
        <w:tc>
          <w:tcPr>
            <w:tcW w:type="dxa" w:w="7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2026 年 8 月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适用范围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竞赛答辩、技术评审、现场演示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FFF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SimSun"/>
                <w:b/>
                <w:i w:val="0"/>
                <w:color w:val="262626"/>
                <w:sz w:val="20"/>
              </w:rPr>
              <w:t xml:space="preserve">测试结论  </w:t>
            </w: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20"/>
              </w:rPr>
              <w:t>核心功能测试、RAG 检索、最终问答、流式播报和动态改稿均已形成可复现记录；TTS 首音频平均 2323 ms，满足 3 秒目标。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1  测试环境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2400"/>
        <w:gridCol w:w="6960"/>
      </w:tblGrid>
      <w:tr>
        <w:tc>
          <w:tcPr>
            <w:tcW w:type="dxa" w:w="2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项目</w:t>
            </w:r>
          </w:p>
        </w:tc>
        <w:tc>
          <w:tcPr>
            <w:tcW w:type="dxa" w:w="69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值</w:t>
            </w:r>
          </w:p>
        </w:tc>
      </w:tr>
      <w:tr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分支</w:t>
            </w:r>
          </w:p>
        </w:tc>
        <w:tc>
          <w:tcPr>
            <w:tcW w:type="dxa" w:w="6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codex/xilian-joint-e6-baseline</w:t>
            </w:r>
          </w:p>
        </w:tc>
      </w:tr>
      <w:tr>
        <w:tc>
          <w:tcPr>
            <w:tcW w:type="dxa" w:w="2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服务</w:t>
            </w:r>
          </w:p>
        </w:tc>
        <w:tc>
          <w:tcPr>
            <w:tcW w:type="dxa" w:w="69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前端 5173 / 后端 8000 / GPT-SoVITS 9880</w:t>
            </w:r>
          </w:p>
        </w:tc>
      </w:tr>
      <w:tr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模型</w:t>
            </w:r>
          </w:p>
        </w:tc>
        <w:tc>
          <w:tcPr>
            <w:tcW w:type="dxa" w:w="6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GPT-SoVITS v2ProPlus</w:t>
            </w:r>
          </w:p>
        </w:tc>
      </w:tr>
      <w:tr>
        <w:tc>
          <w:tcPr>
            <w:tcW w:type="dxa" w:w="2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数据</w:t>
            </w:r>
          </w:p>
        </w:tc>
        <w:tc>
          <w:tcPr>
            <w:tcW w:type="dxa" w:w="69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data/sample + 本地 SQLite</w:t>
            </w:r>
          </w:p>
        </w:tc>
      </w:tr>
      <w:tr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验证时间</w:t>
            </w:r>
          </w:p>
        </w:tc>
        <w:tc>
          <w:tcPr>
            <w:tcW w:type="dxa" w:w="6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2026 年 8 月 27 日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2  测试范围与方法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测试覆盖资料导入、版本管理、检索溯源、车型问答、流式 TTS、动态改稿、音色质量门禁和回退路径。自动化测试通过 verify.ps1 触发，原始结果保存在 evidence/verification.json；界面演示按现场操作手册逐项复核。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3  功能测试矩阵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100"/>
        <w:gridCol w:w="3400"/>
        <w:gridCol w:w="3460"/>
        <w:gridCol w:w="1400"/>
      </w:tblGrid>
      <w:tr>
        <w:tc>
          <w:tcPr>
            <w:tcW w:type="dxa" w:w="1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编号</w:t>
            </w:r>
          </w:p>
        </w:tc>
        <w:tc>
          <w:tcPr>
            <w:tcW w:type="dxa" w:w="3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场景</w:t>
            </w:r>
          </w:p>
        </w:tc>
        <w:tc>
          <w:tcPr>
            <w:tcW w:type="dxa" w:w="34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预期</w:t>
            </w:r>
          </w:p>
        </w:tc>
        <w:tc>
          <w:tcPr>
            <w:tcW w:type="dxa" w:w="1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结果</w:t>
            </w:r>
          </w:p>
        </w:tc>
      </w:tr>
      <w:tr>
        <w:tc>
          <w:tcPr>
            <w:tcW w:type="dxa" w:w="1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F-01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批量导入 TXT + 车型参数</w:t>
            </w:r>
          </w:p>
        </w:tc>
        <w:tc>
          <w:tcPr>
            <w:tcW w:type="dxa" w:w="3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两项均入库，可查询</w:t>
            </w:r>
          </w:p>
        </w:tc>
        <w:tc>
          <w:tcPr>
            <w:tcW w:type="dxa" w:w="1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F-02</w:t>
            </w:r>
          </w:p>
        </w:tc>
        <w:tc>
          <w:tcPr>
            <w:tcW w:type="dxa" w:w="3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DOCX 段落和表格解析</w:t>
            </w:r>
          </w:p>
        </w:tc>
        <w:tc>
          <w:tcPr>
            <w:tcW w:type="dxa" w:w="34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文本和参数表均保留</w:t>
            </w:r>
          </w:p>
        </w:tc>
        <w:tc>
          <w:tcPr>
            <w:tcW w:type="dxa" w:w="1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F-03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版本替换与历史查询</w:t>
            </w:r>
          </w:p>
        </w:tc>
        <w:tc>
          <w:tcPr>
            <w:tcW w:type="dxa" w:w="3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新版本可见，旧版本可追溯</w:t>
            </w:r>
          </w:p>
        </w:tc>
        <w:tc>
          <w:tcPr>
            <w:tcW w:type="dxa" w:w="1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F-04</w:t>
            </w:r>
          </w:p>
        </w:tc>
        <w:tc>
          <w:tcPr>
            <w:tcW w:type="dxa" w:w="3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回答携带来源与置信度</w:t>
            </w:r>
          </w:p>
        </w:tc>
        <w:tc>
          <w:tcPr>
            <w:tcW w:type="dxa" w:w="34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sources[]、confidence 返回</w:t>
            </w:r>
          </w:p>
        </w:tc>
        <w:tc>
          <w:tcPr>
            <w:tcW w:type="dxa" w:w="1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F-05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流式首包播放</w:t>
            </w:r>
          </w:p>
        </w:tc>
        <w:tc>
          <w:tcPr>
            <w:tcW w:type="dxa" w:w="3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收到首个 PCM 即排程</w:t>
            </w:r>
          </w:p>
        </w:tc>
        <w:tc>
          <w:tcPr>
            <w:tcW w:type="dxa" w:w="1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F-06</w:t>
            </w:r>
          </w:p>
        </w:tc>
        <w:tc>
          <w:tcPr>
            <w:tcW w:type="dxa" w:w="3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播放中改稿</w:t>
            </w:r>
          </w:p>
        </w:tc>
        <w:tc>
          <w:tcPr>
            <w:tcW w:type="dxa" w:w="34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当前句不截断，后续刷新</w:t>
            </w:r>
          </w:p>
        </w:tc>
        <w:tc>
          <w:tcPr>
            <w:tcW w:type="dxa" w:w="1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F-07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音色质量门禁</w:t>
            </w:r>
          </w:p>
        </w:tc>
        <w:tc>
          <w:tcPr>
            <w:tcW w:type="dxa" w:w="3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异常样本禁止直接播报</w:t>
            </w:r>
          </w:p>
        </w:tc>
        <w:tc>
          <w:tcPr>
            <w:tcW w:type="dxa" w:w="1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F-08</w:t>
            </w:r>
          </w:p>
        </w:tc>
        <w:tc>
          <w:tcPr>
            <w:tcW w:type="dxa" w:w="3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TTS 不可达回退</w:t>
            </w:r>
          </w:p>
        </w:tc>
        <w:tc>
          <w:tcPr>
            <w:tcW w:type="dxa" w:w="34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文字保留，浏览器语音可用</w:t>
            </w:r>
          </w:p>
        </w:tc>
        <w:tc>
          <w:tcPr>
            <w:tcW w:type="dxa" w:w="1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4  指标验收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800"/>
        <w:gridCol w:w="1550"/>
        <w:gridCol w:w="3400"/>
        <w:gridCol w:w="1800"/>
        <w:gridCol w:w="810"/>
      </w:tblGrid>
      <w:tr>
        <w:tc>
          <w:tcPr>
            <w:tcW w:type="dxa" w:w="1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指标</w:t>
            </w:r>
          </w:p>
        </w:tc>
        <w:tc>
          <w:tcPr>
            <w:tcW w:type="dxa" w:w="15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样本/次数</w:t>
            </w:r>
          </w:p>
        </w:tc>
        <w:tc>
          <w:tcPr>
            <w:tcW w:type="dxa" w:w="3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实际结果</w:t>
            </w:r>
          </w:p>
        </w:tc>
        <w:tc>
          <w:tcPr>
            <w:tcW w:type="dxa" w:w="1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目标</w:t>
            </w:r>
          </w:p>
        </w:tc>
        <w:tc>
          <w:tcPr>
            <w:tcW w:type="dxa" w:w="8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判定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单元测试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35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35 passed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无失败</w:t>
            </w:r>
          </w:p>
        </w:tc>
        <w:tc>
          <w:tcPr>
            <w:tcW w:type="dxa" w:w="8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RAG 检索</w:t>
            </w:r>
          </w:p>
        </w:tc>
        <w:tc>
          <w:tcPr>
            <w:tcW w:type="dxa" w:w="15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</w:t>
            </w:r>
          </w:p>
        </w:tc>
        <w:tc>
          <w:tcPr>
            <w:tcW w:type="dxa" w:w="3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40/40，100%，7.9 ms</w:t>
            </w:r>
          </w:p>
        </w:tc>
        <w:tc>
          <w:tcPr>
            <w:tcW w:type="dxa" w:w="1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&gt;=85%，&gt;=40</w:t>
            </w:r>
          </w:p>
        </w:tc>
        <w:tc>
          <w:tcPr>
            <w:tcW w:type="dxa" w:w="8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最终问答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40/40，100%，8.1 ms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&gt;=85%，&gt;=40</w:t>
            </w:r>
          </w:p>
        </w:tc>
        <w:tc>
          <w:tcPr>
            <w:tcW w:type="dxa" w:w="8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TTS 首音频</w:t>
            </w:r>
          </w:p>
        </w:tc>
        <w:tc>
          <w:tcPr>
            <w:tcW w:type="dxa" w:w="15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3</w:t>
            </w:r>
          </w:p>
        </w:tc>
        <w:tc>
          <w:tcPr>
            <w:tcW w:type="dxa" w:w="3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2266.4 / 2615.9 / 2086.6 ms，平均 2323.0 ms</w:t>
            </w:r>
          </w:p>
        </w:tc>
        <w:tc>
          <w:tcPr>
            <w:tcW w:type="dxa" w:w="1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&lt;=3000 ms</w:t>
            </w:r>
          </w:p>
        </w:tc>
        <w:tc>
          <w:tcPr>
            <w:tcW w:type="dxa" w:w="8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动态改稿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1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revision 1 -&gt; 2，safe_sentence 1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当前句不截断</w:t>
            </w:r>
          </w:p>
        </w:tc>
        <w:tc>
          <w:tcPr>
            <w:tcW w:type="dxa" w:w="8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5  复现步骤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启动 start.ps1，确认 5173、8000、9880 端口可访问。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执行 powershell -ExecutionPolicy Bypass -File .\verify.ps1。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打开验证页，检查检索、问答和 TTS 指标；打开直播台，完成动态改稿演示。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将 evidence/verification.json 与本报告一并归档。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6  风险与限制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TTS 延迟会受 GPU 当前负载和模型首次加载影响；报告记录的是本机实测，不代表所有设备。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音色拟人度包含主观听感，机器指标不能替代至少 3 名听测者评分。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比赛现场不应同时启动多套 GPT-SoVITS 服务，避免显存争抢和首句抖动。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7  证据索引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证据</w:t>
            </w:r>
          </w:p>
        </w:tc>
        <w:tc>
          <w:tcPr>
            <w:tcW w:type="dxa" w:w="3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位置</w:t>
            </w:r>
          </w:p>
        </w:tc>
        <w:tc>
          <w:tcPr>
            <w:tcW w:type="dxa" w:w="33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用途</w:t>
            </w:r>
          </w:p>
        </w:tc>
      </w:tr>
      <w:tr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自动化结果</w:t>
            </w:r>
          </w:p>
        </w:tc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evidence/verification.json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记录时间、版本、指标和样本</w:t>
            </w:r>
          </w:p>
        </w:tc>
      </w:tr>
      <w:tr>
        <w:tc>
          <w:tcPr>
            <w:tcW w:type="dxa" w:w="2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系统设计 PDF</w:t>
            </w:r>
          </w:p>
        </w:tc>
        <w:tc>
          <w:tcPr>
            <w:tcW w:type="dxa" w:w="3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01-system-design.pdf</w:t>
            </w:r>
          </w:p>
        </w:tc>
        <w:tc>
          <w:tcPr>
            <w:tcW w:type="dxa" w:w="33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总体架构和技术边界</w:t>
            </w:r>
          </w:p>
        </w:tc>
      </w:tr>
      <w:tr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源码包</w:t>
            </w:r>
          </w:p>
        </w:tc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source/汽车直播智能体源码.zip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交付和复现</w:t>
            </w:r>
          </w:p>
        </w:tc>
      </w:tr>
      <w:tr>
        <w:tc>
          <w:tcPr>
            <w:tcW w:type="dxa" w:w="2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现场手册</w:t>
            </w:r>
          </w:p>
        </w:tc>
        <w:tc>
          <w:tcPr>
            <w:tcW w:type="dxa" w:w="3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07-现场演示操作手册.md</w:t>
            </w:r>
          </w:p>
        </w:tc>
        <w:tc>
          <w:tcPr>
            <w:tcW w:type="dxa" w:w="33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答辩演示顺序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参考资料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GPT-SoVITS 官方中文说明：https://github.com/RVC-Boss/GPT-SoVITS/blob/main/docs/cn/README.md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参赛题目文件：C:/Users/seele/Desktop/6.（海云捷迅）2026年第二届重庆市AI大模型创新应用大赛企业出题.docx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SimSun"/>
        <w:b w:val="0"/>
        <w:i w:val="0"/>
        <w:color w:val="666666"/>
        <w:sz w:val="16"/>
      </w:rPr>
      <w:t>汽车直播智能体  ·  v1.2  ·  内部评审稿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Times New Roman" w:hAnsi="Times New Roman" w:eastAsia="SimSun"/>
        <w:b w:val="0"/>
        <w:i w:val="0"/>
        <w:color w:val="666666"/>
        <w:sz w:val="17"/>
      </w:rPr>
      <w:t>标准化功能测试报告  |  技术资料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