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4"/>
          <w:szCs w:val="44"/>
        </w:rPr>
        <w:t xml:space="preserve">Asset Criticality Assessment Framework</w:t>
      </w:r>
    </w:p>
    <w:p>
      <w:pPr>
        <w:spacing w:after="120" w:before="0" w:line="276"/>
      </w:pPr>
      <w:r>
        <w:rPr>
          <w:rFonts w:ascii="Arial" w:cs="Arial" w:eastAsia="Arial" w:hAnsi="Arial"/>
          <w:color w:val="444444"/>
          <w:sz w:val="22"/>
          <w:szCs w:val="22"/>
        </w:rPr>
        <w:t xml:space="preserve">Operational Sense - Sprint 1 | Epic 01: Industrial Knowledge Foundation | Group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Item</w:t>
            </w:r>
          </w:p>
        </w:tc>
        <w:tc>
          <w:tcPr>
            <w:tcW w:type="dxa" w:w="74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8"/>
                <w:szCs w:val="18"/>
              </w:rPr>
              <w:t xml:space="preserve">Detail</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8"/>
                <w:szCs w:val="18"/>
              </w:rPr>
              <w:t xml:space="preserve">Document</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G1_Asset_Criticality_Framework_v1.0</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8"/>
                <w:szCs w:val="18"/>
              </w:rPr>
              <w:t xml:space="preserve">Status</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DRAFT PROPOSAL - weights, bands and rules are not yet approved (see Section 14)</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8"/>
                <w:szCs w:val="18"/>
              </w:rPr>
              <w:t xml:space="preserve">Companion workbook</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G1_Asset_Criticality_Scoring_Matrix_v1.0.xlsx (factors, scales, parameters, assessments with live formulas, field definitions, source register, review log)</w:t>
            </w:r>
          </w:p>
        </w:tc>
      </w:tr>
      <w:tr>
        <w:trPr>
          <w:cantSplit/>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8"/>
                <w:szCs w:val="18"/>
              </w:rPr>
              <w:t xml:space="preserve">Aligned with</w:t>
            </w:r>
          </w:p>
        </w:tc>
        <w:tc>
          <w:tcPr>
            <w:tcW w:type="dxa" w:w="74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8"/>
                <w:szCs w:val="18"/>
              </w:rPr>
              <w:t xml:space="preserve">Draft hierarchy G1_Equipment_Hierarchy_v1.0.xlsx (class EQ-, type TY-, asset AST- IDs)</w:t>
            </w:r>
          </w:p>
        </w:tc>
      </w:tr>
    </w:tbl>
    <w:p>
      <w:pPr>
        <w:pStyle w:val="Heading1"/>
        <w:spacing w:after="100" w:before="280"/>
      </w:pPr>
      <w:r>
        <w:rPr>
          <w:rFonts w:ascii="Arial" w:cs="Arial" w:eastAsia="Arial" w:hAnsi="Arial"/>
          <w:b/>
          <w:bCs/>
          <w:color w:val="1F4E79"/>
          <w:sz w:val="28"/>
          <w:szCs w:val="28"/>
        </w:rPr>
        <w:t xml:space="preserve">1. Purpose, scope and status</w:t>
      </w:r>
    </w:p>
    <w:p>
      <w:pPr>
        <w:spacing w:after="120" w:before="0" w:line="276"/>
      </w:pPr>
      <w:r>
        <w:rPr>
          <w:rFonts w:ascii="Arial" w:cs="Arial" w:eastAsia="Arial" w:hAnsi="Arial"/>
          <w:sz w:val="20"/>
          <w:szCs w:val="20"/>
        </w:rPr>
        <w:t xml:space="preserve">This framework defines a consistent, reproducible way to rate how critical an installed industrial asset is. The result helps Operational Sense prioritise maintenance attention, link criticality to the equipment hierarchy, and give the Backend and AI &amp; Retrieval teams a defined set of fields.</w:t>
      </w:r>
    </w:p>
    <w:p>
      <w:pPr>
        <w:spacing w:after="120" w:before="0" w:line="276"/>
      </w:pPr>
      <w:r>
        <w:rPr>
          <w:rFonts w:ascii="Arial" w:cs="Arial" w:eastAsia="Arial" w:hAnsi="Arial"/>
          <w:sz w:val="20"/>
          <w:szCs w:val="20"/>
        </w:rPr>
        <w:t xml:space="preserve">Scope: the three equipment types in the Sprint 1 hierarchy (centrifugal pump, three-phase induction motor, rotary screw air compressor). The weights, score bands, default time bands and override rules are team proposals built from published asset-management and practitioner guidance. They are not an industry standard and have not been approved or calibrated against a real site.</w:t>
      </w:r>
    </w:p>
    <w:p>
      <w:pPr>
        <w:pStyle w:val="Heading1"/>
        <w:spacing w:after="100" w:before="280"/>
      </w:pPr>
      <w:r>
        <w:rPr>
          <w:rFonts w:ascii="Arial" w:cs="Arial" w:eastAsia="Arial" w:hAnsi="Arial"/>
          <w:b/>
          <w:bCs/>
          <w:color w:val="1F4E79"/>
          <w:sz w:val="28"/>
          <w:szCs w:val="28"/>
        </w:rPr>
        <w:t xml:space="preserve">2. Key concepts</w:t>
      </w:r>
    </w:p>
    <w:p>
      <w:pPr>
        <w:pStyle w:val="ListParagraph"/>
        <w:numPr>
          <w:ilvl w:val="0"/>
          <w:numId w:val="2"/>
        </w:numPr>
        <w:spacing w:after="60" w:line="276"/>
      </w:pPr>
      <w:r>
        <w:rPr>
          <w:rFonts w:ascii="Arial" w:cs="Arial" w:eastAsia="Arial" w:hAnsi="Arial"/>
          <w:sz w:val="20"/>
          <w:szCs w:val="20"/>
        </w:rPr>
        <w:t xml:space="preserve">Criticality rates the consequence of losing an installed asset, not how likely it is to fail and not its current condition.</w:t>
      </w:r>
    </w:p>
    <w:p>
      <w:pPr>
        <w:pStyle w:val="ListParagraph"/>
        <w:numPr>
          <w:ilvl w:val="0"/>
          <w:numId w:val="2"/>
        </w:numPr>
        <w:spacing w:after="60" w:line="276"/>
      </w:pPr>
      <w:r>
        <w:rPr>
          <w:rFonts w:ascii="Arial" w:cs="Arial" w:eastAsia="Arial" w:hAnsi="Arial"/>
          <w:sz w:val="20"/>
          <w:szCs w:val="20"/>
        </w:rPr>
        <w:t xml:space="preserve">Criticality attaches to the asset instance (a tagged unit such as P-101), not to the equipment type. The same pump type can be Low in one duty and Critical in another.</w:t>
      </w:r>
    </w:p>
    <w:p>
      <w:pPr>
        <w:pStyle w:val="ListParagraph"/>
        <w:numPr>
          <w:ilvl w:val="0"/>
          <w:numId w:val="2"/>
        </w:numPr>
        <w:spacing w:after="60" w:line="276"/>
      </w:pPr>
      <w:r>
        <w:rPr>
          <w:rFonts w:ascii="Arial" w:cs="Arial" w:eastAsia="Arial" w:hAnsi="Arial"/>
          <w:sz w:val="20"/>
          <w:szCs w:val="20"/>
        </w:rPr>
        <w:t xml:space="preserve">Criticality is different from case severity. The Knowledge Base column "Severity (proposed, unreviewed)" describes how serious a failure case is; the two must stay separate fields.</w:t>
      </w:r>
    </w:p>
    <w:p>
      <w:pPr>
        <w:pStyle w:val="ListParagraph"/>
        <w:numPr>
          <w:ilvl w:val="0"/>
          <w:numId w:val="2"/>
        </w:numPr>
        <w:spacing w:after="60" w:line="276"/>
      </w:pPr>
      <w:r>
        <w:rPr>
          <w:rFonts w:ascii="Arial" w:cs="Arial" w:eastAsia="Arial" w:hAnsi="Arial"/>
          <w:sz w:val="20"/>
          <w:szCs w:val="20"/>
        </w:rPr>
        <w:t xml:space="preserve">The method scores the worst credible consequence of losing the asset’s function in normal operation, counting only standby, protection and workarounds that actually exist.</w:t>
      </w:r>
    </w:p>
    <w:p>
      <w:pPr>
        <w:pStyle w:val="Heading1"/>
        <w:spacing w:after="100" w:before="280"/>
      </w:pPr>
      <w:r>
        <w:rPr>
          <w:rFonts w:ascii="Arial" w:cs="Arial" w:eastAsia="Arial" w:hAnsi="Arial"/>
          <w:b/>
          <w:bCs/>
          <w:color w:val="1F4E79"/>
          <w:sz w:val="28"/>
          <w:szCs w:val="28"/>
        </w:rPr>
        <w:t xml:space="preserve">3. Research basis</w:t>
      </w:r>
    </w:p>
    <w:p>
      <w:pPr>
        <w:spacing w:after="120" w:before="0" w:line="276"/>
      </w:pPr>
      <w:r>
        <w:rPr>
          <w:rFonts w:ascii="Arial" w:cs="Arial" w:eastAsia="Arial" w:hAnsi="Arial"/>
          <w:sz w:val="20"/>
          <w:szCs w:val="20"/>
        </w:rPr>
        <w:t xml:space="preserve">The framework follows common practice in consequence-based criticality ranking: score each asset on several consequence dimensions, combine the scores, set tier cut-offs, document the logic and assumptions, use a cross-functional team, and review periodically. Sources are listed in Section 15 and in the workbook Source_Register with the access level actually reached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638"/>
      </w:tblGrid>
      <w:tr>
        <w:trPr>
          <w:cantSplit/>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Practice</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How this framework uses it</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Source basis</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Consequence dimensions: safety, production, environment, repair cost, replacement lead time, dependency</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Five factors F1 to F5 (repair cost and lead time sit in F5; dependency in F4).</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S05, S06, S07 (practitioner and vendor guides)</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Weighted score with tier cut-offs</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Weighted 1 to 5 score converted to a 0 to 100 index with four bands.</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S05 to S07; weights and cut-offs are team proposals</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Safety and environment must not be diluted</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Override rules R1 to R4.</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S05, S06</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Cross-functional scoring and periodic review</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Review by operations, safety and maintenance; reassess at least every 12 months (proposed).</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S05, S06</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Criticality feeds FMEA and RCM prioritisation; failure-mode severity is a different level</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Criticality is asset-level; severity stays on failure cases.</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S02, S04, S06</w:t>
            </w:r>
          </w:p>
        </w:tc>
      </w:tr>
      <w:tr>
        <w:trPr>
          <w:cantSplit/>
          <w:tblHeader w:val="false"/>
        </w:trPr>
        <w:tc>
          <w:tcPr>
            <w:tcW w:type="dxa" w:w="3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Risk-assessment technique families (consequence matrices, multi-criteria analysis)</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 simple multi-criteria weighted score; no likelihood factor in v1.0.</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S03</w:t>
            </w:r>
          </w:p>
        </w:tc>
      </w:tr>
    </w:tbl>
    <w:p>
      <w:pPr>
        <w:spacing w:after="120" w:before="100" w:line="276"/>
      </w:pPr>
      <w:r>
        <w:rPr>
          <w:rFonts w:ascii="Arial" w:cs="Arial" w:eastAsia="Arial" w:hAnsi="Arial"/>
          <w:sz w:val="20"/>
          <w:szCs w:val="20"/>
        </w:rPr>
        <w:t xml:space="preserve">Limits of the research: the standards (ISO 55000, IEC 60812, IEC 31010, SAE JA1011) were identified from catalogue records and their full text was not read. Practitioner and vendor guides were partly read through search excerpts and were used for concepts, not numbers. No scale or weight is copied from any source.</w:t>
      </w:r>
    </w:p>
    <w:p>
      <w:pPr>
        <w:pStyle w:val="Heading1"/>
        <w:spacing w:after="100" w:before="280"/>
      </w:pPr>
      <w:r>
        <w:rPr>
          <w:rFonts w:ascii="Arial" w:cs="Arial" w:eastAsia="Arial" w:hAnsi="Arial"/>
          <w:b/>
          <w:bCs/>
          <w:color w:val="1F4E79"/>
          <w:sz w:val="28"/>
          <w:szCs w:val="28"/>
        </w:rPr>
        <w:t xml:space="preserve">4. Assessment factors and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900"/>
        <w:gridCol w:w="3338"/>
        <w:gridCol w:w="900"/>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Factor</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Definition</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Measurable indicators</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Weight</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F1</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Safety (personnel and equipment)</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Worst credible harm to people, and damage to the asset or neighbouring equipment, if the asset fails.</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Worst credible injury outcome; potential for fire, explosion, pressure or stored-energy release; damage to adjacent equipment; loss of a safety function.</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30%</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F2</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Production loss and downtime</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Loss of output caused by the asset failing, considering duration and scope of the interruption with no workaround.</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Duration of interruption; scope (one machine, a line, the whole plant); whether lost output can be recovered.</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25%</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F3</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Environmental impact</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Harm to the environment, and any regulatory consequence, if the asset fails.</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Type and amount of release; whether it stays inside containment; whether it must be reported to a regulator.</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15%</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F4</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Operational dependency and business continuity</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How much other processes or services depend on the asset, and whether a standby or workaround exists.</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Installed standby or redundancy; number of dependent processes or services; availability of a workaround; single point of failure.</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15%</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F5</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Maintenance and repair consequences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Effort, time and cost needed to restore the asset after a failure.</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Repair duration; spares availability and lead time; repair cost relative to the site maintenance budget; need for specialist resources.</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15%</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Total</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100%</w:t>
            </w:r>
          </w:p>
        </w:tc>
      </w:tr>
    </w:tbl>
    <w:p>
      <w:pPr>
        <w:spacing w:after="120" w:before="100" w:line="276"/>
      </w:pPr>
      <w:r>
        <w:rPr>
          <w:rFonts w:ascii="Arial" w:cs="Arial" w:eastAsia="Arial" w:hAnsi="Arial"/>
          <w:sz w:val="20"/>
          <w:szCs w:val="20"/>
        </w:rPr>
        <w:t xml:space="preserve">Weight rationale (proposal): safety carries the highest weight because the harm cannot be recovered; production is next because it usually drives the business impact; environment, dependency and maintenance are equal. Weights must total 100% and are stored in one parameter table so they can be changed after approval.</w:t>
      </w:r>
    </w:p>
    <w:p>
      <w:pPr>
        <w:sectPr>
          <w:footerReference w:type="default" r:id="rId7"/>
          <w:pgSz w:w="11906" w:h="16838" w:orient="portrait"/>
          <w:pgMar w:top="1134" w:right="1134" w:bottom="1134" w:left="1134" w:header="708" w:footer="708" w:gutter="0"/>
          <w:pgNumType/>
          <w:docGrid w:linePitch="360"/>
        </w:sectPr>
      </w:pPr>
    </w:p>
    <w:p>
      <w:pPr>
        <w:pStyle w:val="Heading1"/>
        <w:spacing w:after="100" w:before="280"/>
      </w:pPr>
      <w:r>
        <w:rPr>
          <w:rFonts w:ascii="Arial" w:cs="Arial" w:eastAsia="Arial" w:hAnsi="Arial"/>
          <w:b/>
          <w:bCs/>
          <w:color w:val="1F4E79"/>
          <w:sz w:val="28"/>
          <w:szCs w:val="28"/>
        </w:rPr>
        <w:t xml:space="preserve">5. Scoring scales (scoring matrix)</w:t>
      </w:r>
    </w:p>
    <w:p>
      <w:pPr>
        <w:spacing w:after="120" w:before="0" w:line="276"/>
      </w:pPr>
      <w:r>
        <w:rPr>
          <w:rFonts w:ascii="Arial" w:cs="Arial" w:eastAsia="Arial" w:hAnsi="Arial"/>
          <w:sz w:val="20"/>
          <w:szCs w:val="20"/>
        </w:rPr>
        <w:t xml:space="preserve">Score each factor from 1 (very low) to 5 (very high). Time bands in F2 and F5 are proposed defaults and must be calibrated by the site. If unsure between two levels, choose the higher and record why.</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1700"/>
        <w:gridCol w:w="2680"/>
        <w:gridCol w:w="2680"/>
        <w:gridCol w:w="2680"/>
        <w:gridCol w:w="2680"/>
        <w:gridCol w:w="268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Factor</w:t>
            </w:r>
          </w:p>
        </w:tc>
        <w:tc>
          <w:tcPr>
            <w:tcW w:type="dxa" w:w="26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1 - Very low</w:t>
            </w:r>
          </w:p>
        </w:tc>
        <w:tc>
          <w:tcPr>
            <w:tcW w:type="dxa" w:w="26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2 - Low</w:t>
            </w:r>
          </w:p>
        </w:tc>
        <w:tc>
          <w:tcPr>
            <w:tcW w:type="dxa" w:w="26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3 - Moderate</w:t>
            </w:r>
          </w:p>
        </w:tc>
        <w:tc>
          <w:tcPr>
            <w:tcW w:type="dxa" w:w="26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4 - High</w:t>
            </w:r>
          </w:p>
        </w:tc>
        <w:tc>
          <w:tcPr>
            <w:tcW w:type="dxa" w:w="26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5"/>
                <w:szCs w:val="15"/>
              </w:rPr>
              <w:t xml:space="preserve">5 - Very high</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5"/>
                <w:szCs w:val="15"/>
              </w:rPr>
              <w:t xml:space="preserve">F1 Safety (personnel and equipment)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No credible injury; no effect on other equipment.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First-aid injury possible; minor damage limited to the asset itself.</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Medical-treatment injury possible; moderate damage to connected equipment.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Lost-time or serious injury possible; significant damage to adjacent equipment or loss of a safety function.</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Fatality or permanently disabling injury possible; credible fire, explosion or major energy/pressure release.</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5"/>
                <w:szCs w:val="15"/>
              </w:rPr>
              <w:t xml:space="preserve">F2 Production loss and downtime</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No production effect.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Reduced rate, or interruption of under about 4 hours on one machine or line section; fully recoverable.</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Interruption of about 4 to 24 hours on a line; partly recoverable.</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Line stopped for about 1 to 3 days, or a short plant-wide stop.</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Line stopped for more than about 3 days, or a prolonged plant-wide stop; output not recoverable.</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5"/>
                <w:szCs w:val="15"/>
              </w:rPr>
              <w:t xml:space="preserve">F3 Environmental impact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No release or emission.</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Minor release, contained on site and cleaned up by routine action; no reporting.</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Release needing formal clean-up and internal incident reporting.</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Release beyond local containment, or reportable to a regulator; localised effect.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Major or off-site release, significant regulatory action or lasting environmental damage.</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5"/>
                <w:szCs w:val="15"/>
              </w:rPr>
              <w:t xml:space="preserve">F4 Operational dependency and business continuity</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Installed standby with automatic changeover; no dependency.</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Standby available with manual changeover, or few dependents with an easy workaround.</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Partial backup or buffer capacity covers a short outage; limited dependents.</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No standby; several downstream processes depend on it; workaround difficult.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Single point of failure for the plant or a critical service; no workaround.</w:t>
            </w:r>
          </w:p>
        </w:tc>
      </w:tr>
      <w:tr>
        <w:trPr>
          <w:cantSplit/>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5"/>
                <w:szCs w:val="15"/>
              </w:rPr>
              <w:t xml:space="preserve">F5 Maintenance and repair consequences</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Simple repair within about 4 hours; stock spares; low cost; in-house skills.</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Repair within a shift; spares in stock; routine skills; low to moderate cost.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Repair takes 1 to 2 days; spares from supplier within days; moderate cost.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Repair takes several days to weeks; long-lead spares or specialist contractor; high cost.</w:t>
            </w:r>
          </w:p>
        </w:tc>
        <w:tc>
          <w:tcPr>
            <w:tcW w:type="dxa" w:w="26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5"/>
                <w:szCs w:val="15"/>
              </w:rPr>
              <w:t xml:space="preserve">Repair takes weeks to months; OEM-only or custom parts; replacement likely; very high cost.</w:t>
            </w:r>
          </w:p>
        </w:tc>
      </w:tr>
    </w:tbl>
    <w:p>
      <w:pPr>
        <w:sectPr>
          <w:footerReference w:type="default" r:id="rId8"/>
          <w:pgSz w:w="16838" w:h="11906" w:orient="landscape"/>
          <w:pgMar w:top="850" w:right="850" w:bottom="850" w:left="850" w:header="708" w:footer="708" w:gutter="0"/>
          <w:pgNumType/>
          <w:docGrid w:linePitch="360"/>
        </w:sectPr>
      </w:pPr>
    </w:p>
    <w:p>
      <w:pPr>
        <w:pStyle w:val="Heading1"/>
        <w:spacing w:after="100" w:before="280"/>
      </w:pPr>
      <w:r>
        <w:rPr>
          <w:rFonts w:ascii="Arial" w:cs="Arial" w:eastAsia="Arial" w:hAnsi="Arial"/>
          <w:b/>
          <w:bCs/>
          <w:color w:val="1F4E79"/>
          <w:sz w:val="28"/>
          <w:szCs w:val="28"/>
        </w:rPr>
        <w:t xml:space="preserve">6. Scoring methodology</w:t>
      </w:r>
    </w:p>
    <w:p>
      <w:pPr>
        <w:spacing w:after="120" w:before="0" w:line="276"/>
      </w:pPr>
      <w:r>
        <w:rPr>
          <w:rFonts w:ascii="Arial" w:cs="Arial" w:eastAsia="Arial" w:hAnsi="Arial"/>
          <w:sz w:val="20"/>
          <w:szCs w:val="20"/>
        </w:rPr>
        <w:t xml:space="preserve">The calculation uses only the documented weights and scores, so any assessor can reproduce a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Step</w:t>
            </w:r>
          </w:p>
        </w:tc>
        <w:tc>
          <w:tcPr>
            <w:tcW w:type="dxa" w:w="87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Rule</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1</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Identify the asset instance, its service, standby and dependants.</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2</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Score F1 to F5 from 1 to 5; write a rationale (mandatory for scores of 4 or 5).</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3</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Weighted score = (F1 x 0.30) + (F2 x 0.25) + (F3 x 0.15) + (F4 x 0.15) + (F5 x 0.15). Range 1.00 to 5.00.</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4</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Criticality index = weighted score x 20. Range 20.0 to 100.0, rounded to 1 decimal.</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5</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Band category from the index (Section 7).</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6</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Apply override rules R1 to R4; final category = the higher of band and override floor.</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7</w:t>
            </w:r>
          </w:p>
        </w:tc>
        <w:tc>
          <w:tcPr>
            <w:tcW w:type="dxa" w:w="8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Record assessor, date, status, framework and weights versions; review before approval.</w:t>
            </w:r>
          </w:p>
        </w:tc>
      </w:tr>
    </w:tbl>
    <w:p>
      <w:pPr>
        <w:spacing w:after="120" w:before="120" w:line="276"/>
      </w:pPr>
      <w:r>
        <w:rPr>
          <w:rFonts w:ascii="Arial" w:cs="Arial" w:eastAsia="Arial" w:hAnsi="Arial"/>
          <w:sz w:val="20"/>
          <w:szCs w:val="20"/>
        </w:rPr>
        <w:t xml:space="preserve">Worked example (CRA-0004, flammable-solvent transfer pump with standby): scores Safety 5, Production 2, Environment 4, Dependency 2, Maintenance 2. Weighted score = 1.50 + 0.50 + 0.60 + 0.30 + 0.30 = 3.20; index = 64.0, which is band High. Rules R1, R3 and R4 apply, and R1 sets the floor to Critical. Final category: Critical.</w:t>
      </w:r>
    </w:p>
    <w:p>
      <w:pPr>
        <w:pStyle w:val="Heading1"/>
        <w:spacing w:after="100" w:before="280"/>
      </w:pPr>
      <w:r>
        <w:rPr>
          <w:rFonts w:ascii="Arial" w:cs="Arial" w:eastAsia="Arial" w:hAnsi="Arial"/>
          <w:b/>
          <w:bCs/>
          <w:color w:val="1F4E79"/>
          <w:sz w:val="28"/>
          <w:szCs w:val="28"/>
        </w:rPr>
        <w:t xml:space="preserve">7. Classification categories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800"/>
        <w:gridCol w:w="2838"/>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Category</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Index range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Weighted score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Meaning</w:t>
            </w:r>
          </w:p>
        </w:tc>
        <w:tc>
          <w:tcPr>
            <w:tcW w:type="dxa" w:w="28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Suggested use (proposal)</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6"/>
                <w:szCs w:val="16"/>
              </w:rPr>
              <w:t xml:space="preserve">Critical</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80.0 to 100.0</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4.0 to 5.0</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Severe consequences for people, environment, production or continuity.</w:t>
            </w:r>
          </w:p>
        </w:tc>
        <w:tc>
          <w:tcPr>
            <w:tcW w:type="dxa" w:w="2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Highest priority for condition monitoring, spares and preventive-maintenance review.</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6"/>
                <w:szCs w:val="16"/>
              </w:rPr>
              <w:t xml:space="preserve">High</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60.0 to 79.9</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3.0 to 3.99</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Major consequences.</w:t>
            </w:r>
          </w:p>
        </w:tc>
        <w:tc>
          <w:tcPr>
            <w:tcW w:type="dxa" w:w="2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Scheduled preventive maintenance and routine monitoring.</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6"/>
                <w:szCs w:val="16"/>
              </w:rPr>
              <w:t xml:space="preserve">Medium</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40.0 to 59.9</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2.0 to 2.99</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Moderate consequences.</w:t>
            </w:r>
          </w:p>
        </w:tc>
        <w:tc>
          <w:tcPr>
            <w:tcW w:type="dxa" w:w="2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Standard preventive maintenance.</w:t>
            </w:r>
          </w:p>
        </w:tc>
      </w:tr>
      <w:tr>
        <w:trPr>
          <w:cantSplit/>
          <w:tblHeader w:val="false"/>
        </w:trPr>
        <w:tc>
          <w:tcPr>
            <w:tcW w:type="dxa" w:w="11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6"/>
                <w:szCs w:val="16"/>
              </w:rPr>
              <w:t xml:space="preserve">Low</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20.0 to 39.9</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1.0 to 1.99</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Limited consequences.</w:t>
            </w:r>
          </w:p>
        </w:tc>
        <w:tc>
          <w:tcPr>
            <w:tcW w:type="dxa" w:w="2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6"/>
                <w:szCs w:val="16"/>
              </w:rPr>
              <w:t xml:space="preserve">Basic checks; run-to-failure may be acceptable where spares are easy to get.</w:t>
            </w:r>
          </w:p>
        </w:tc>
      </w:tr>
    </w:tbl>
    <w:p>
      <w:pPr>
        <w:spacing w:after="120" w:before="160" w:line="276"/>
      </w:pPr>
      <w:r>
        <w:rPr>
          <w:rFonts w:ascii="Arial" w:cs="Arial" w:eastAsia="Arial" w:hAnsi="Arial"/>
          <w:b/>
          <w:bCs/>
          <w:sz w:val="20"/>
          <w:szCs w:val="20"/>
        </w:rPr>
        <w:t xml:space="preserve">Override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238"/>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Rule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Condition</w:t>
            </w:r>
          </w:p>
        </w:tc>
        <w:tc>
          <w:tcPr>
            <w:tcW w:type="dxa" w:w="52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Effect</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R1</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Safety score &gt;= 5</w:t>
            </w:r>
          </w:p>
        </w:tc>
        <w:tc>
          <w:tcPr>
            <w:tcW w:type="dxa" w:w="5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Final category = Critical</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R2</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Environmental score &gt;= 5</w:t>
            </w:r>
          </w:p>
        </w:tc>
        <w:tc>
          <w:tcPr>
            <w:tcW w:type="dxa" w:w="5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Final category = Critical</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R3</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Safety score &gt;= 4</w:t>
            </w:r>
          </w:p>
        </w:tc>
        <w:tc>
          <w:tcPr>
            <w:tcW w:type="dxa" w:w="5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Final category at least High</w:t>
            </w:r>
          </w:p>
        </w:tc>
      </w:tr>
      <w:tr>
        <w:trPr>
          <w:cantSplit/>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bCs/>
                <w:sz w:val="17"/>
                <w:szCs w:val="17"/>
              </w:rPr>
              <w:t xml:space="preserve">R4</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Environmental score &gt;= 4</w:t>
            </w:r>
          </w:p>
        </w:tc>
        <w:tc>
          <w:tcPr>
            <w:tcW w:type="dxa" w:w="5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b w:val="false"/>
                <w:bCs w:val="false"/>
                <w:sz w:val="17"/>
                <w:szCs w:val="17"/>
              </w:rPr>
              <w:t xml:space="preserve">Final category at least High</w:t>
            </w:r>
          </w:p>
        </w:tc>
      </w:tr>
    </w:tbl>
    <w:p>
      <w:pPr>
        <w:pStyle w:val="ListParagraph"/>
        <w:numPr>
          <w:ilvl w:val="0"/>
          <w:numId w:val="2"/>
        </w:numPr>
        <w:spacing w:after="60" w:line="276"/>
      </w:pPr>
      <w:r>
        <w:rPr>
          <w:rFonts w:ascii="Arial" w:cs="Arial" w:eastAsia="Arial" w:hAnsi="Arial"/>
          <w:sz w:val="20"/>
          <w:szCs w:val="20"/>
        </w:rPr>
        <w:t xml:space="preserve">Thresholds apply to the index rounded to 1 decimal: exactly 60.0 is High, 80.0 is Critical, 40.0 is Medium.</w:t>
      </w:r>
    </w:p>
    <w:p>
      <w:pPr>
        <w:pStyle w:val="ListParagraph"/>
        <w:numPr>
          <w:ilvl w:val="0"/>
          <w:numId w:val="2"/>
        </w:numPr>
        <w:spacing w:after="60" w:line="276"/>
      </w:pPr>
      <w:r>
        <w:rPr>
          <w:rFonts w:ascii="Arial" w:cs="Arial" w:eastAsia="Arial" w:hAnsi="Arial"/>
          <w:sz w:val="20"/>
          <w:szCs w:val="20"/>
        </w:rPr>
        <w:t xml:space="preserve">Driver and driven equipment are scored on their own consequences; a motor serving a driven machine normally shares that machine’s production and dependency scores.</w:t>
      </w:r>
    </w:p>
    <w:p>
      <w:pPr>
        <w:pStyle w:val="ListParagraph"/>
        <w:numPr>
          <w:ilvl w:val="0"/>
          <w:numId w:val="2"/>
        </w:numPr>
        <w:spacing w:after="60" w:line="276"/>
      </w:pPr>
      <w:r>
        <w:rPr>
          <w:rFonts w:ascii="Arial" w:cs="Arial" w:eastAsia="Arial" w:hAnsi="Arial"/>
          <w:sz w:val="20"/>
          <w:szCs w:val="20"/>
        </w:rPr>
        <w:t xml:space="preserve">Reassess at least every 12 months (proposed) and after a process change, a change in standby, a serious incident, or a change in weights or bands.</w:t>
      </w:r>
    </w:p>
    <w:p>
      <w:pPr>
        <w:pStyle w:val="ListParagraph"/>
        <w:numPr>
          <w:ilvl w:val="0"/>
          <w:numId w:val="2"/>
        </w:numPr>
        <w:spacing w:after="60" w:line="276"/>
      </w:pPr>
      <w:r>
        <w:rPr>
          <w:rFonts w:ascii="Arial" w:cs="Arial" w:eastAsia="Arial" w:hAnsi="Arial"/>
          <w:sz w:val="20"/>
          <w:szCs w:val="20"/>
        </w:rPr>
        <w:t xml:space="preserve">If most assets land in Critical or High, review how the scales are being used; the method must differentiate.</w:t>
      </w:r>
    </w:p>
    <w:p>
      <w:pPr>
        <w:pStyle w:val="Heading1"/>
        <w:spacing w:after="100" w:before="280"/>
      </w:pPr>
      <w:r>
        <w:rPr>
          <w:rFonts w:ascii="Arial" w:cs="Arial" w:eastAsia="Arial" w:hAnsi="Arial"/>
          <w:b/>
          <w:bCs/>
          <w:color w:val="1F4E79"/>
          <w:sz w:val="28"/>
          <w:szCs w:val="28"/>
        </w:rPr>
        <w:t xml:space="preserve">8. Representative assessments</w:t>
      </w:r>
    </w:p>
    <w:p>
      <w:pPr>
        <w:spacing w:after="120" w:before="0" w:line="276"/>
      </w:pPr>
      <w:r>
        <w:rPr>
          <w:rFonts w:ascii="Arial" w:cs="Arial" w:eastAsia="Arial" w:hAnsi="Arial"/>
          <w:sz w:val="20"/>
          <w:szCs w:val="20"/>
        </w:rPr>
        <w:t xml:space="preserve">Ten assessments across the three classes. The service contexts are assumed for illustration; they are not real plant data. Full rationales per score are in workbook sheet Example_Rationale.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650"/>
        <w:gridCol w:w="1150"/>
        <w:gridCol w:w="2950"/>
        <w:gridCol w:w="330"/>
        <w:gridCol w:w="330"/>
        <w:gridCol w:w="330"/>
        <w:gridCol w:w="330"/>
        <w:gridCol w:w="330"/>
        <w:gridCol w:w="750"/>
        <w:gridCol w:w="1538"/>
      </w:tblGrid>
      <w:tr>
        <w:trPr>
          <w:cantSplit/>
          <w:tblHeader/>
        </w:trPr>
        <w:tc>
          <w:tcPr>
            <w:tcW w:type="dxa" w:w="9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ID</w:t>
            </w:r>
          </w:p>
        </w:tc>
        <w:tc>
          <w:tcPr>
            <w:tcW w:type="dxa" w:w="6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Tag</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Type</w:t>
            </w:r>
          </w:p>
        </w:tc>
        <w:tc>
          <w:tcPr>
            <w:tcW w:type="dxa" w:w="29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Service context (assumed)</w:t>
            </w:r>
          </w:p>
        </w:tc>
        <w:tc>
          <w:tcPr>
            <w:tcW w:type="dxa" w:w="3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S</w:t>
            </w:r>
          </w:p>
        </w:tc>
        <w:tc>
          <w:tcPr>
            <w:tcW w:type="dxa" w:w="3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P</w:t>
            </w:r>
          </w:p>
        </w:tc>
        <w:tc>
          <w:tcPr>
            <w:tcW w:type="dxa" w:w="3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E</w:t>
            </w:r>
          </w:p>
        </w:tc>
        <w:tc>
          <w:tcPr>
            <w:tcW w:type="dxa" w:w="3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D</w:t>
            </w:r>
          </w:p>
        </w:tc>
        <w:tc>
          <w:tcPr>
            <w:tcW w:type="dxa" w:w="3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M</w:t>
            </w:r>
          </w:p>
        </w:tc>
        <w:tc>
          <w:tcPr>
            <w:tcW w:type="dxa" w:w="7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Index</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4"/>
                <w:szCs w:val="14"/>
              </w:rPr>
              <w:t xml:space="preserve">Final</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CRA-0001</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P-101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PUMP-CENT</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Cooling-water circulation pump; single duty, no installed standby; serves the main process line</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62.0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High</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CRA-0002</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P-102</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PUMP-CENT</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Boiler feed-water pump; no installed spare</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88.0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Critical</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CRA-0003</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P-201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PUMP-CENT</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Sump drainage pump; installed standby with automatic changeover</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23.0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Low</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CRA-0004</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P-305</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PUMP-CENT</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Transfer pump for flammable solvent; standby installed; bunded area</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64.0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Critical *</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CRA-0005</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M-101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MOTOR-IM3</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Drive motor of P-101 (same cooling-water duty)</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62.0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High</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CRA-0006</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M-301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MOTOR-IM3</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Conveyor drive motor on a single line; spare motor held in store</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51.0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Medium</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CRA-0007</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M-402</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MOTOR-IM3</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Workshop ventilation fan motor, general area</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20.0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Low</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CRA-0008</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C-101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COMP-SCREW</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Instrument-air compressor; single unit; plant instruments depend on it</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5</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82.0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Critical</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CRA-0009</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C-102</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COMP-SCREW</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General-service plant-air compressor; duty/standby pair</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43.0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Medium</w:t>
            </w:r>
          </w:p>
        </w:tc>
      </w:tr>
      <w:tr>
        <w:trPr>
          <w:cantSplit/>
          <w:tblHeader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CRA-0010</w:t>
            </w:r>
          </w:p>
        </w:tc>
        <w:tc>
          <w:tcPr>
            <w:tcW w:type="dxa" w:w="6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C-201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COMP-SCREW</w:t>
            </w:r>
          </w:p>
        </w:tc>
        <w:tc>
          <w:tcPr>
            <w:tcW w:type="dxa" w:w="29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Workshop compressor for intermittent tool use</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1</w:t>
            </w:r>
          </w:p>
        </w:tc>
        <w:tc>
          <w:tcPr>
            <w:tcW w:type="dxa" w:w="3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2</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32.0</w:t>
            </w:r>
          </w:p>
        </w:tc>
        <w:tc>
          <w:tcPr>
            <w:tcW w:type="dxa" w:w="15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4"/>
                <w:szCs w:val="14"/>
              </w:rPr>
              <w:t xml:space="preserve">Low</w:t>
            </w:r>
          </w:p>
        </w:tc>
      </w:tr>
    </w:tbl>
    <w:p>
      <w:pPr>
        <w:spacing w:after="120" w:before="80" w:line="276"/>
      </w:pPr>
      <w:r>
        <w:rPr>
          <w:rFonts w:ascii="Arial" w:cs="Arial" w:eastAsia="Arial" w:hAnsi="Arial"/>
          <w:sz w:val="16"/>
          <w:szCs w:val="16"/>
        </w:rPr>
        <w:t xml:space="preserve">S = Safety, P = Production, E = Environment, D = Dependency, M = Maintenance. * = category raised by an override rule (CRA-0004).</w:t>
      </w:r>
    </w:p>
    <w:p>
      <w:pPr>
        <w:spacing w:after="120" w:before="100" w:line="276"/>
      </w:pPr>
      <w:r>
        <w:rPr>
          <w:rFonts w:ascii="Arial" w:cs="Arial" w:eastAsia="Arial" w:hAnsi="Arial"/>
          <w:sz w:val="20"/>
          <w:szCs w:val="20"/>
        </w:rPr>
        <w:t xml:space="preserve">Result distribution: Critical 3, High 2, Medium 2, Low 3. Pairing worth noting: the pump P-101 (CRA-0001) and its motor M-101 (CRA-0005) both land in High because they share the same production and dependency consequences, while the three screw compressors range from Critical to Low because their duty and standby differ. This is the intended behaviour: criticality follows the duty, not the equipment type.</w:t>
      </w:r>
    </w:p>
    <w:p>
      <w:pPr>
        <w:pStyle w:val="Heading1"/>
        <w:spacing w:after="100" w:before="280"/>
      </w:pPr>
      <w:r>
        <w:rPr>
          <w:rFonts w:ascii="Arial" w:cs="Arial" w:eastAsia="Arial" w:hAnsi="Arial"/>
          <w:b/>
          <w:bCs/>
          <w:color w:val="1F4E79"/>
          <w:sz w:val="28"/>
          <w:szCs w:val="28"/>
        </w:rPr>
        <w:t xml:space="preserve">9. Alignment with the equipment hierarchy</w:t>
      </w:r>
    </w:p>
    <w:p>
      <w:pPr>
        <w:pStyle w:val="ListParagraph"/>
        <w:numPr>
          <w:ilvl w:val="0"/>
          <w:numId w:val="2"/>
        </w:numPr>
        <w:spacing w:after="60" w:line="276"/>
      </w:pPr>
      <w:r>
        <w:rPr>
          <w:rFonts w:ascii="Arial" w:cs="Arial" w:eastAsia="Arial" w:hAnsi="Arial"/>
          <w:sz w:val="20"/>
          <w:szCs w:val="20"/>
        </w:rPr>
        <w:t xml:space="preserve">Criticality is stored at asset-instance level and linked by asset_id, type_id and class_id to the hierarchy IDs (AST-, TY-, EQ-).</w:t>
      </w:r>
    </w:p>
    <w:p>
      <w:pPr>
        <w:pStyle w:val="ListParagraph"/>
        <w:numPr>
          <w:ilvl w:val="0"/>
          <w:numId w:val="2"/>
        </w:numPr>
        <w:spacing w:after="60" w:line="276"/>
      </w:pPr>
      <w:r>
        <w:rPr>
          <w:rFonts w:ascii="Arial" w:cs="Arial" w:eastAsia="Arial" w:hAnsi="Arial"/>
          <w:sz w:val="20"/>
          <w:szCs w:val="20"/>
        </w:rPr>
        <w:t xml:space="preserve">Components (CP-) inherit the criticality of their parent asset by default; component-level scoring is outside Sprint 1.</w:t>
      </w:r>
    </w:p>
    <w:p>
      <w:pPr>
        <w:pStyle w:val="ListParagraph"/>
        <w:numPr>
          <w:ilvl w:val="0"/>
          <w:numId w:val="2"/>
        </w:numPr>
        <w:spacing w:after="60" w:line="276"/>
      </w:pPr>
      <w:r>
        <w:rPr>
          <w:rFonts w:ascii="Arial" w:cs="Arial" w:eastAsia="Arial" w:hAnsi="Arial"/>
          <w:sz w:val="20"/>
          <w:szCs w:val="20"/>
        </w:rPr>
        <w:t xml:space="preserve">The hierarchy used is the M03 draft. The approved hierarchy is a dependency; IDs must be re-checked when it is approved.</w:t>
      </w:r>
    </w:p>
    <w:p>
      <w:pPr>
        <w:pStyle w:val="ListParagraph"/>
        <w:numPr>
          <w:ilvl w:val="0"/>
          <w:numId w:val="2"/>
        </w:numPr>
        <w:spacing w:after="60" w:line="276"/>
      </w:pPr>
      <w:r>
        <w:rPr>
          <w:rFonts w:ascii="Arial" w:cs="Arial" w:eastAsia="Arial" w:hAnsi="Arial"/>
          <w:sz w:val="20"/>
          <w:szCs w:val="20"/>
        </w:rPr>
        <w:t xml:space="preserve">Assets AST-0001 to AST-0003 exist in the hierarchy; the other example assets are illustrative and must be added to the asset table by Group 2 before real use.</w:t>
      </w:r>
    </w:p>
    <w:p>
      <w:pPr>
        <w:pStyle w:val="Heading1"/>
        <w:spacing w:after="100" w:before="280"/>
      </w:pPr>
      <w:r>
        <w:rPr>
          <w:rFonts w:ascii="Arial" w:cs="Arial" w:eastAsia="Arial" w:hAnsi="Arial"/>
          <w:b/>
          <w:bCs/>
          <w:color w:val="1F4E79"/>
          <w:sz w:val="28"/>
          <w:szCs w:val="28"/>
        </w:rPr>
        <w:t xml:space="preserve">10. Field definitions (summary)</w:t>
      </w:r>
    </w:p>
    <w:p>
      <w:pPr>
        <w:spacing w:after="120" w:before="0" w:line="276"/>
      </w:pPr>
      <w:r>
        <w:rPr>
          <w:rFonts w:ascii="Arial" w:cs="Arial" w:eastAsia="Arial" w:hAnsi="Arial"/>
          <w:sz w:val="20"/>
          <w:szCs w:val="20"/>
        </w:rPr>
        <w:t xml:space="preserve">The full list of 28 field entries is in workbook sheet Field_Definitions. Key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038"/>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Field</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Type</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Rule</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assessment_id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VARCHAR, PK</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CRA-nnnn</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asset_id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FK to asset table</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Mandatory; criticality attaches to the asset instance</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score_safety / production / environment / dependency / maintenance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SMALLINT</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Mandatory; CHECK 1 to 5</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rationale_* (5 fields)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TEXT</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Mandatory when the score is 4 or 5</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weighted_score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NUMERIC(3,2)</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Calculated, 1.00 to 5.00</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criticality_index</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NUMERIC(4,1)</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Calculated, 20.0 to 100.0</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final_category</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Enum</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Low, Medium, High, Critical; calculated after overrides</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framework_version, weights_version</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VARCHAR</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Mandatory; keeps results reproducible</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assessment_status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Enum</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Draft, Reviewed, Approved, Superseded</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data_origin</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Enum</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Synthetic Scenario or Site Assessment</w:t>
            </w:r>
          </w:p>
        </w:tc>
      </w:tr>
      <w:tr>
        <w:trPr>
          <w:cantSplit/>
          <w:tblHeader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is_current</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BOOLEAN</w:t>
            </w:r>
          </w:p>
        </w:tc>
        <w:tc>
          <w:tcPr>
            <w:tcW w:type="dxa" w:w="4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At most one TRUE per asset</w:t>
            </w:r>
          </w:p>
        </w:tc>
      </w:tr>
    </w:tbl>
    <w:p>
      <w:pPr>
        <w:pStyle w:val="Heading1"/>
        <w:spacing w:after="100" w:before="280"/>
      </w:pPr>
      <w:r>
        <w:rPr>
          <w:rFonts w:ascii="Arial" w:cs="Arial" w:eastAsia="Arial" w:hAnsi="Arial"/>
          <w:b/>
          <w:bCs/>
          <w:color w:val="1F4E79"/>
          <w:sz w:val="28"/>
          <w:szCs w:val="28"/>
        </w:rPr>
        <w:t xml:space="preserve">11. Integration requirements for Backend and AI &amp; Retrieval (proposed)</w:t>
      </w:r>
    </w:p>
    <w:p>
      <w:pPr>
        <w:spacing w:after="120" w:before="0" w:line="276"/>
      </w:pPr>
      <w:r>
        <w:rPr>
          <w:rFonts w:ascii="Arial" w:cs="Arial" w:eastAsia="Arial" w:hAnsi="Arial"/>
          <w:sz w:val="20"/>
          <w:szCs w:val="20"/>
        </w:rPr>
        <w:t xml:space="preserve">These ten requirements are proposals for the review with Groups 2 and 3. They have not yet been reviewed (workbook sheet Review_Log). Main points:</w:t>
      </w:r>
    </w:p>
    <w:p>
      <w:pPr>
        <w:pStyle w:val="ListParagraph"/>
        <w:numPr>
          <w:ilvl w:val="0"/>
          <w:numId w:val="2"/>
        </w:numPr>
        <w:spacing w:after="60" w:line="276"/>
      </w:pPr>
      <w:r>
        <w:rPr>
          <w:rFonts w:ascii="Arial" w:cs="Arial" w:eastAsia="Arial" w:hAnsi="Arial"/>
          <w:sz w:val="20"/>
          <w:szCs w:val="20"/>
        </w:rPr>
        <w:t xml:space="preserve">Store assessments in a separate table linked to the asset instance, with history and one current approved record per asset.</w:t>
      </w:r>
    </w:p>
    <w:p>
      <w:pPr>
        <w:pStyle w:val="ListParagraph"/>
        <w:numPr>
          <w:ilvl w:val="0"/>
          <w:numId w:val="2"/>
        </w:numPr>
        <w:spacing w:after="60" w:line="276"/>
      </w:pPr>
      <w:r>
        <w:rPr>
          <w:rFonts w:ascii="Arial" w:cs="Arial" w:eastAsia="Arial" w:hAnsi="Arial"/>
          <w:sz w:val="20"/>
          <w:szCs w:val="20"/>
        </w:rPr>
        <w:t xml:space="preserve">Persist framework_version and weights_version; keep weights in a parameter table; calculate derived fields in the database or application and enforce CHECK 1 to 5.</w:t>
      </w:r>
    </w:p>
    <w:p>
      <w:pPr>
        <w:pStyle w:val="ListParagraph"/>
        <w:numPr>
          <w:ilvl w:val="0"/>
          <w:numId w:val="2"/>
        </w:numPr>
        <w:spacing w:after="60" w:line="276"/>
      </w:pPr>
      <w:r>
        <w:rPr>
          <w:rFonts w:ascii="Arial" w:cs="Arial" w:eastAsia="Arial" w:hAnsi="Arial"/>
          <w:sz w:val="20"/>
          <w:szCs w:val="20"/>
        </w:rPr>
        <w:t xml:space="preserve">For retrieval, expose final_category and criticality_index as filter and ranking metadata; keep numeric scores out of embedding text by default.</w:t>
      </w:r>
    </w:p>
    <w:p>
      <w:pPr>
        <w:pStyle w:val="ListParagraph"/>
        <w:numPr>
          <w:ilvl w:val="0"/>
          <w:numId w:val="2"/>
        </w:numPr>
        <w:spacing w:after="60" w:line="276"/>
      </w:pPr>
      <w:r>
        <w:rPr>
          <w:rFonts w:ascii="Arial" w:cs="Arial" w:eastAsia="Arial" w:hAnsi="Arial"/>
          <w:sz w:val="20"/>
          <w:szCs w:val="20"/>
        </w:rPr>
        <w:t xml:space="preserve">Keep case severity and asset criticality as separate fields.</w:t>
      </w:r>
    </w:p>
    <w:p>
      <w:pPr>
        <w:pStyle w:val="ListParagraph"/>
        <w:numPr>
          <w:ilvl w:val="0"/>
          <w:numId w:val="2"/>
        </w:numPr>
        <w:spacing w:after="60" w:line="276"/>
      </w:pPr>
      <w:r>
        <w:rPr>
          <w:rFonts w:ascii="Arial" w:cs="Arial" w:eastAsia="Arial" w:hAnsi="Arial"/>
          <w:sz w:val="20"/>
          <w:szCs w:val="20"/>
        </w:rPr>
        <w:t xml:space="preserve">Support CSV import with the same field names so Group 4 can validate loading.</w:t>
      </w:r>
    </w:p>
    <w:p>
      <w:pPr>
        <w:pStyle w:val="Heading1"/>
        <w:spacing w:after="100" w:before="280"/>
      </w:pPr>
      <w:r>
        <w:rPr>
          <w:rFonts w:ascii="Arial" w:cs="Arial" w:eastAsia="Arial" w:hAnsi="Arial"/>
          <w:b/>
          <w:bCs/>
          <w:color w:val="1F4E79"/>
          <w:sz w:val="28"/>
          <w:szCs w:val="28"/>
        </w:rPr>
        <w:t xml:space="preserve">12. Assumptions, limitations and conditions</w:t>
      </w:r>
    </w:p>
    <w:p>
      <w:pPr>
        <w:pStyle w:val="ListParagraph"/>
        <w:numPr>
          <w:ilvl w:val="0"/>
          <w:numId w:val="2"/>
        </w:numPr>
        <w:spacing w:after="60" w:line="276"/>
      </w:pPr>
      <w:r>
        <w:rPr>
          <w:rFonts w:ascii="Arial" w:cs="Arial" w:eastAsia="Arial" w:hAnsi="Arial"/>
          <w:sz w:val="20"/>
          <w:szCs w:val="20"/>
        </w:rPr>
        <w:t xml:space="preserve">Weights, band thresholds, default time bands and override rules are team proposals, not standards, and need approval and site calibration.</w:t>
      </w:r>
    </w:p>
    <w:p>
      <w:pPr>
        <w:pStyle w:val="ListParagraph"/>
        <w:numPr>
          <w:ilvl w:val="0"/>
          <w:numId w:val="2"/>
        </w:numPr>
        <w:spacing w:after="60" w:line="276"/>
      </w:pPr>
      <w:r>
        <w:rPr>
          <w:rFonts w:ascii="Arial" w:cs="Arial" w:eastAsia="Arial" w:hAnsi="Arial"/>
          <w:sz w:val="20"/>
          <w:szCs w:val="20"/>
        </w:rPr>
        <w:t xml:space="preserve">The method is consequence-based. Failure likelihood, asset condition and failure history are not scored; a likelihood factor or risk matrix can be added later.</w:t>
      </w:r>
    </w:p>
    <w:p>
      <w:pPr>
        <w:pStyle w:val="ListParagraph"/>
        <w:numPr>
          <w:ilvl w:val="0"/>
          <w:numId w:val="2"/>
        </w:numPr>
        <w:spacing w:after="60" w:line="276"/>
      </w:pPr>
      <w:r>
        <w:rPr>
          <w:rFonts w:ascii="Arial" w:cs="Arial" w:eastAsia="Arial" w:hAnsi="Arial"/>
          <w:sz w:val="20"/>
          <w:szCs w:val="20"/>
        </w:rPr>
        <w:t xml:space="preserve">Regulatory exposure is included inside the Safety and Environmental scales, not as a separate factor.</w:t>
      </w:r>
    </w:p>
    <w:p>
      <w:pPr>
        <w:pStyle w:val="ListParagraph"/>
        <w:numPr>
          <w:ilvl w:val="0"/>
          <w:numId w:val="2"/>
        </w:numPr>
        <w:spacing w:after="60" w:line="276"/>
      </w:pPr>
      <w:r>
        <w:rPr>
          <w:rFonts w:ascii="Arial" w:cs="Arial" w:eastAsia="Arial" w:hAnsi="Arial"/>
          <w:sz w:val="20"/>
          <w:szCs w:val="20"/>
        </w:rPr>
        <w:t xml:space="preserve">Scores are judgements; two assessors can differ by one level. Rationales, the higher-level rule for uncertainty and cross-functional review reduce this.</w:t>
      </w:r>
    </w:p>
    <w:p>
      <w:pPr>
        <w:pStyle w:val="ListParagraph"/>
        <w:numPr>
          <w:ilvl w:val="0"/>
          <w:numId w:val="2"/>
        </w:numPr>
        <w:spacing w:after="60" w:line="276"/>
      </w:pPr>
      <w:r>
        <w:rPr>
          <w:rFonts w:ascii="Arial" w:cs="Arial" w:eastAsia="Arial" w:hAnsi="Arial"/>
          <w:sz w:val="20"/>
          <w:szCs w:val="20"/>
        </w:rPr>
        <w:t xml:space="preserve">Scores assume normal operation and only the standby, protection and workarounds that actually exist.</w:t>
      </w:r>
    </w:p>
    <w:p>
      <w:pPr>
        <w:pStyle w:val="ListParagraph"/>
        <w:numPr>
          <w:ilvl w:val="0"/>
          <w:numId w:val="2"/>
        </w:numPr>
        <w:spacing w:after="60" w:line="276"/>
      </w:pPr>
      <w:r>
        <w:rPr>
          <w:rFonts w:ascii="Arial" w:cs="Arial" w:eastAsia="Arial" w:hAnsi="Arial"/>
          <w:sz w:val="20"/>
          <w:szCs w:val="20"/>
        </w:rPr>
        <w:t xml:space="preserve">The example contexts are assumed and illustrative; they must not be presented as site data.</w:t>
      </w:r>
    </w:p>
    <w:p>
      <w:pPr>
        <w:pStyle w:val="ListParagraph"/>
        <w:numPr>
          <w:ilvl w:val="0"/>
          <w:numId w:val="2"/>
        </w:numPr>
        <w:spacing w:after="60" w:line="276"/>
      </w:pPr>
      <w:r>
        <w:rPr>
          <w:rFonts w:ascii="Arial" w:cs="Arial" w:eastAsia="Arial" w:hAnsi="Arial"/>
          <w:sz w:val="20"/>
          <w:szCs w:val="20"/>
        </w:rPr>
        <w:t xml:space="preserve">Production and repair time bands depend on the site’s production rate, shutdown cost and maintenance budget.</w:t>
      </w:r>
    </w:p>
    <w:p>
      <w:pPr>
        <w:pStyle w:val="ListParagraph"/>
        <w:numPr>
          <w:ilvl w:val="0"/>
          <w:numId w:val="2"/>
        </w:numPr>
        <w:spacing w:after="60" w:line="276"/>
      </w:pPr>
      <w:r>
        <w:rPr>
          <w:rFonts w:ascii="Arial" w:cs="Arial" w:eastAsia="Arial" w:hAnsi="Arial"/>
          <w:sz w:val="20"/>
          <w:szCs w:val="20"/>
        </w:rPr>
        <w:t xml:space="preserve">The framework applies to the three equipment types in the Sprint 1 hierarchy; other equipment needs scale review.</w:t>
      </w:r>
    </w:p>
    <w:p>
      <w:pPr>
        <w:pStyle w:val="ListParagraph"/>
        <w:numPr>
          <w:ilvl w:val="0"/>
          <w:numId w:val="2"/>
        </w:numPr>
        <w:spacing w:after="60" w:line="276"/>
      </w:pPr>
      <w:r>
        <w:rPr>
          <w:rFonts w:ascii="Arial" w:cs="Arial" w:eastAsia="Arial" w:hAnsi="Arial"/>
          <w:sz w:val="20"/>
          <w:szCs w:val="20"/>
        </w:rPr>
        <w:t xml:space="preserve">This document does not replace site risk assessments, safety studies or regulatory classifications.</w:t>
      </w:r>
    </w:p>
    <w:p>
      <w:pPr>
        <w:pStyle w:val="Heading1"/>
        <w:spacing w:after="100" w:before="280"/>
      </w:pPr>
      <w:r>
        <w:rPr>
          <w:rFonts w:ascii="Arial" w:cs="Arial" w:eastAsia="Arial" w:hAnsi="Arial"/>
          <w:b/>
          <w:bCs/>
          <w:color w:val="1F4E79"/>
          <w:sz w:val="28"/>
          <w:szCs w:val="28"/>
        </w:rPr>
        <w:t xml:space="preserve">13. Reproducibility and validation</w:t>
      </w:r>
    </w:p>
    <w:p>
      <w:pPr>
        <w:spacing w:after="120" w:before="0" w:line="276"/>
      </w:pPr>
      <w:r>
        <w:rPr>
          <w:rFonts w:ascii="Arial" w:cs="Arial" w:eastAsia="Arial" w:hAnsi="Arial"/>
          <w:sz w:val="20"/>
          <w:szCs w:val="20"/>
        </w:rPr>
        <w:t xml:space="preserve">Every example result in this document was calculated independently in code and compared with the live workbook formulas: all 10 assessments match exactly (weighted score, index, band, override rules and final category). Anyone can reproduce a result by entering the five scores on sheet Assessments.</w:t>
      </w:r>
    </w:p>
    <w:p>
      <w:pPr>
        <w:spacing w:after="120" w:before="0" w:line="276"/>
      </w:pPr>
      <w:r>
        <w:rPr>
          <w:rFonts w:ascii="Arial" w:cs="Arial" w:eastAsia="Arial" w:hAnsi="Arial"/>
          <w:sz w:val="20"/>
          <w:szCs w:val="20"/>
        </w:rPr>
        <w:t xml:space="preserve">Weight sensitivity: each of the five weights was moved by plus or minus 5 percentage points (others rescaled), giving 10 scenarios. In 9 of 10 scenarios no example changed category. When the Environmental weight rises by 5 points, CRA-0005 and CRA-0008 fall to the next lower category because they lie within 2 index points of a band boundary. These borderline cases should be discussed in the review.</w:t>
      </w:r>
    </w:p>
    <w:p>
      <w:pPr>
        <w:pStyle w:val="Heading1"/>
        <w:pageBreakBefore/>
        <w:spacing w:after="100" w:before="0"/>
      </w:pPr>
      <w:r>
        <w:rPr>
          <w:rFonts w:ascii="Arial" w:cs="Arial" w:eastAsia="Arial" w:hAnsi="Arial"/>
          <w:b/>
          <w:bCs/>
          <w:color w:val="1F4E79"/>
          <w:sz w:val="28"/>
          <w:szCs w:val="28"/>
        </w:rPr>
        <w:t xml:space="preserve">14. Review and approval</w:t>
      </w:r>
    </w:p>
    <w:p>
      <w:pPr>
        <w:spacing w:after="120" w:before="0" w:line="276"/>
      </w:pPr>
      <w:r>
        <w:rPr>
          <w:rFonts w:ascii="Arial" w:cs="Arial" w:eastAsia="Arial" w:hAnsi="Arial"/>
          <w:sz w:val="20"/>
          <w:szCs w:val="20"/>
        </w:rPr>
        <w:t xml:space="preserve">Backend and AI &amp; Retrieval reviews have not yet taken place. The table records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32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Reviewer role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Outcome / comments</w:t>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Backend &amp; Database (Group 2)</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AI &amp; Retrieval (Group 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Domain research (M01 / M02)</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QA &amp; Integration (Group 4)</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Approver (workstream lead / supervisor)</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c>
          <w:tcPr>
            <w:tcW w:type="dxa" w:w="32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7"/>
                <w:szCs w:val="17"/>
              </w:rPr>
              <w:t xml:space="preserve"/>
            </w:r>
          </w:p>
        </w:tc>
      </w:tr>
    </w:tbl>
    <w:p>
      <w:pPr>
        <w:pStyle w:val="Heading1"/>
        <w:spacing w:after="100" w:before="280"/>
      </w:pPr>
      <w:r>
        <w:rPr>
          <w:rFonts w:ascii="Arial" w:cs="Arial" w:eastAsia="Arial" w:hAnsi="Arial"/>
          <w:b/>
          <w:bCs/>
          <w:color w:val="1F4E79"/>
          <w:sz w:val="28"/>
          <w:szCs w:val="28"/>
        </w:rPr>
        <w:t xml:space="preserve">15. References and source register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700"/>
        <w:gridCol w:w="2138"/>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ID</w:t>
            </w:r>
          </w:p>
        </w:tc>
        <w:tc>
          <w:tcPr>
            <w:tcW w:type="dxa" w:w="5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Source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Type</w:t>
            </w:r>
          </w:p>
        </w:tc>
        <w:tc>
          <w:tcPr>
            <w:tcW w:type="dxa" w:w="21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pPr>
            <w:r>
              <w:rPr>
                <w:rFonts w:ascii="Arial" w:cs="Arial" w:eastAsia="Arial" w:hAnsi="Arial"/>
                <w:b/>
                <w:bCs/>
                <w:color w:val="FFFFFF"/>
                <w:sz w:val="16"/>
                <w:szCs w:val="16"/>
              </w:rPr>
              <w:t xml:space="preserve">Access level reached</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S01</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ISO 55000:2014 Asset management - Overview, principles and terminology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Standard</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Catalogue / abstract only</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S02</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IEC 60812 Procedure for failure mode and effects analysis (edition to confirm)</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Standard</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Catalogue / contents preview only</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S03</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IEC 31010:2019 Risk management - Risk assessment techniques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Standard</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Catalogue / abstract only</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S04</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SAE JA1011 Evaluation criteria for RCM processes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Standard</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Catalogue / abstract only</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S05</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Asset Criticality Ranking: How to Prioritize What Actually Matters (Reliable Plant)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Practitioner article</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Partly read (search excerpts)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S06</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Equipment Criticality Matrix (Fabrico)</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Vendor guide</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Partly read (search excerpts)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S07</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How to Rank Conveyor Systems Criticality for RCM Programs (OxMaint)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Vendor guide</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Partly read (search excerpts)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S08</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ISO 14224:2016 (equipment taxonomy context only)</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Standard</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Catalogue only</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S09</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Operational Sense Industrial Knowledge Base v2.1</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Internal</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Read (relevant sheets)</w:t>
            </w:r>
          </w:p>
        </w:tc>
      </w:tr>
      <w:tr>
        <w:trPr>
          <w:cantSplit/>
          <w:tblHeader w:val="false"/>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S10</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G1_Equipment_Hierarchy_v1.0.xlsx (M03 draft)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Internal</w:t>
            </w:r>
          </w:p>
        </w:tc>
        <w:tc>
          <w:tcPr>
            <w:tcW w:type="dxa" w:w="21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0"/>
            </w:pPr>
            <w:r>
              <w:rPr>
                <w:rFonts w:ascii="Arial" w:cs="Arial" w:eastAsia="Arial" w:hAnsi="Arial"/>
                <w:sz w:val="16"/>
                <w:szCs w:val="16"/>
              </w:rPr>
              <w:t xml:space="preserve">Read in full</w:t>
            </w:r>
          </w:p>
        </w:tc>
      </w:tr>
    </w:tbl>
    <w:p>
      <w:pPr>
        <w:spacing w:after="120" w:before="100" w:line="276"/>
      </w:pPr>
      <w:r>
        <w:rPr>
          <w:rFonts w:ascii="Arial" w:cs="Arial" w:eastAsia="Arial" w:hAnsi="Arial"/>
          <w:sz w:val="20"/>
          <w:szCs w:val="20"/>
        </w:rPr>
        <w:t xml:space="preserve">Links, editions, what each source was used for and its limitation are in workbook sheet Source_Register. Vendor sources have lower weight; replace or supplement them with site data and the references your supervisor prefers.</w:t>
      </w:r>
    </w:p>
    <w:p>
      <w:pPr>
        <w:pStyle w:val="Heading1"/>
        <w:spacing w:after="100" w:before="280"/>
      </w:pPr>
      <w:r>
        <w:rPr>
          <w:rFonts w:ascii="Arial" w:cs="Arial" w:eastAsia="Arial" w:hAnsi="Arial"/>
          <w:b/>
          <w:bCs/>
          <w:color w:val="1F4E79"/>
          <w:sz w:val="28"/>
          <w:szCs w:val="28"/>
        </w:rPr>
        <w:t xml:space="preserve">16. Open issues</w:t>
      </w:r>
    </w:p>
    <w:p>
      <w:pPr>
        <w:spacing w:after="120" w:before="0" w:line="276"/>
      </w:pPr>
      <w:r>
        <w:rPr>
          <w:rFonts w:ascii="Arial" w:cs="Arial" w:eastAsia="Arial" w:hAnsi="Arial"/>
          <w:sz w:val="20"/>
          <w:szCs w:val="20"/>
        </w:rPr>
        <w:t xml:space="preserve">Full list in workbook sheet Open_Issues. Key items: approval of weights and bands; approved hierarchy dependency; site calibration of time bands; whether to add a likelihood factor; edition checks for the standards; borderline cases CRA-0005 and CRA-0008; Backend and AI &amp; Retrieval review.</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G1_Asset_Criticality_Framework_v1.0 | DRAFT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G1_Asset_Criticality_Framework_v1.0 | DRAFT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G1_Asset_Criticality_Framework_v1.0 | DRAFT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2026-10-25T13:31:49.296Z</dcterms:created>
  <dcterms:modified xsi:type="dcterms:W3CDTF">2026-10-25T13:31:49.296Z</dcterms:modified>
</cp:coreProperties>
</file>

<file path=docProps/custom.xml><?xml version="1.0" encoding="utf-8"?>
<Properties xmlns="http://schemas.openxmlformats.org/officeDocument/2006/custom-properties" xmlns:vt="http://schemas.openxmlformats.org/officeDocument/2006/docPropsVTypes"/>
</file>