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left"/>
      </w:pPr>
      <w:r>
        <w:rPr>
          <w:b/>
          <w:color w:val="285F8F"/>
          <w:sz w:val="26"/>
        </w:rPr>
        <w:t>OPERATIONAL SENSE</w:t>
      </w:r>
    </w:p>
    <w:p>
      <w:pPr>
        <w:pStyle w:val="Title"/>
        <w:spacing w:before="240"/>
      </w:pPr>
      <w:r>
        <w:t>Database Architecture</w:t>
        <w:br/>
        <w:t>&amp; Entity Relationship Design</w:t>
      </w:r>
    </w:p>
    <w:p>
      <w:pPr>
        <w:spacing w:before="120"/>
      </w:pPr>
      <w:r>
        <w:t>M04  |  Logical Design Package  |  Version 1.2</w:t>
      </w:r>
    </w:p>
    <w:p>
      <w:r>
        <w:br/>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17365D"/>
            <w:vAlign w:val="top"/>
          </w:tcPr>
          <w:p>
            <w:pPr>
              <w:spacing w:after="0" w:before="0"/>
            </w:pPr>
            <w:r/>
            <w:r>
              <w:rPr>
                <w:rFonts w:ascii="Aptos" w:hAnsi="Aptos"/>
                <w:b/>
                <w:color w:val="FFFFFF"/>
                <w:sz w:val="18"/>
              </w:rPr>
              <w:t>Document control</w:t>
            </w:r>
          </w:p>
        </w:tc>
        <w:tc>
          <w:tcPr>
            <w:tcW w:type="dxa" w:w="8064"/>
            <w:shd w:fill="17365D"/>
            <w:vAlign w:val="top"/>
          </w:tcPr>
          <w:p>
            <w:pPr>
              <w:spacing w:after="0" w:before="0"/>
            </w:pPr>
            <w:r/>
            <w:r>
              <w:rPr>
                <w:rFonts w:ascii="Aptos" w:hAnsi="Aptos"/>
                <w:b/>
                <w:color w:val="FFFFFF"/>
                <w:sz w:val="18"/>
              </w:rPr>
              <w:t>Value</w:t>
            </w:r>
          </w:p>
        </w:tc>
      </w:tr>
      <w:tr>
        <w:trPr>
          <w:cantSplit/>
        </w:trPr>
        <w:tc>
          <w:tcPr>
            <w:tcW w:type="dxa" w:w="2376"/>
            <w:vAlign w:val="top"/>
          </w:tcPr>
          <w:p>
            <w:pPr>
              <w:spacing w:after="0" w:before="0"/>
            </w:pPr>
            <w:r/>
            <w:r>
              <w:rPr>
                <w:rFonts w:ascii="Aptos" w:hAnsi="Aptos"/>
                <w:b w:val="0"/>
                <w:sz w:val="18"/>
              </w:rPr>
              <w:t>Workstream</w:t>
            </w:r>
          </w:p>
        </w:tc>
        <w:tc>
          <w:tcPr>
            <w:tcW w:type="dxa" w:w="8064"/>
            <w:vAlign w:val="top"/>
          </w:tcPr>
          <w:p>
            <w:pPr>
              <w:spacing w:after="0" w:before="0"/>
            </w:pPr>
            <w:r/>
            <w:r>
              <w:rPr>
                <w:rFonts w:ascii="Aptos" w:hAnsi="Aptos"/>
                <w:b w:val="0"/>
                <w:sz w:val="18"/>
              </w:rPr>
              <w:t>Operational Sense — EPIC 02</w:t>
            </w:r>
          </w:p>
        </w:tc>
      </w:tr>
      <w:tr>
        <w:trPr>
          <w:cantSplit/>
        </w:trPr>
        <w:tc>
          <w:tcPr>
            <w:tcW w:type="dxa" w:w="2376"/>
            <w:vAlign w:val="top"/>
            <w:shd w:fill="F5F8FB"/>
          </w:tcPr>
          <w:p>
            <w:pPr>
              <w:spacing w:after="0" w:before="0"/>
            </w:pPr>
            <w:r/>
            <w:r>
              <w:rPr>
                <w:rFonts w:ascii="Aptos" w:hAnsi="Aptos"/>
                <w:b w:val="0"/>
                <w:sz w:val="18"/>
              </w:rPr>
              <w:t>Owner</w:t>
            </w:r>
          </w:p>
        </w:tc>
        <w:tc>
          <w:tcPr>
            <w:tcW w:type="dxa" w:w="8064"/>
            <w:vAlign w:val="top"/>
            <w:shd w:fill="F5F8FB"/>
          </w:tcPr>
          <w:p>
            <w:pPr>
              <w:spacing w:after="0" w:before="0"/>
            </w:pPr>
            <w:r/>
            <w:r>
              <w:rPr>
                <w:rFonts w:ascii="Aptos" w:hAnsi="Aptos"/>
                <w:b w:val="0"/>
                <w:sz w:val="18"/>
              </w:rPr>
              <w:t>Ashi Jain (M04)</w:t>
            </w:r>
          </w:p>
        </w:tc>
      </w:tr>
      <w:tr>
        <w:trPr>
          <w:cantSplit/>
        </w:trPr>
        <w:tc>
          <w:tcPr>
            <w:tcW w:type="dxa" w:w="2376"/>
            <w:vAlign w:val="top"/>
          </w:tcPr>
          <w:p>
            <w:pPr>
              <w:spacing w:after="0" w:before="0"/>
            </w:pPr>
            <w:r/>
            <w:r>
              <w:rPr>
                <w:rFonts w:ascii="Aptos" w:hAnsi="Aptos"/>
                <w:b w:val="0"/>
                <w:sz w:val="18"/>
              </w:rPr>
              <w:t>Intended users</w:t>
            </w:r>
          </w:p>
        </w:tc>
        <w:tc>
          <w:tcPr>
            <w:tcW w:type="dxa" w:w="8064"/>
            <w:vAlign w:val="top"/>
          </w:tcPr>
          <w:p>
            <w:pPr>
              <w:spacing w:after="0" w:before="0"/>
            </w:pPr>
            <w:r/>
            <w:r>
              <w:rPr>
                <w:rFonts w:ascii="Aptos" w:hAnsi="Aptos"/>
                <w:b w:val="0"/>
                <w:sz w:val="18"/>
              </w:rPr>
              <w:t>M05 PostgreSQL Schema &amp; Constraints; M06 Asset Hierarchy &amp; Metadata; Groups 1, 3 and 4</w:t>
            </w:r>
          </w:p>
        </w:tc>
      </w:tr>
      <w:tr>
        <w:trPr>
          <w:cantSplit/>
        </w:trPr>
        <w:tc>
          <w:tcPr>
            <w:tcW w:type="dxa" w:w="2376"/>
            <w:vAlign w:val="top"/>
            <w:shd w:fill="F5F8FB"/>
          </w:tcPr>
          <w:p>
            <w:pPr>
              <w:spacing w:after="0" w:before="0"/>
            </w:pPr>
            <w:r/>
            <w:r>
              <w:rPr>
                <w:rFonts w:ascii="Aptos" w:hAnsi="Aptos"/>
                <w:b w:val="0"/>
                <w:sz w:val="18"/>
              </w:rPr>
              <w:t>Version / date</w:t>
            </w:r>
          </w:p>
        </w:tc>
        <w:tc>
          <w:tcPr>
            <w:tcW w:type="dxa" w:w="8064"/>
            <w:vAlign w:val="top"/>
            <w:shd w:fill="F5F8FB"/>
          </w:tcPr>
          <w:p>
            <w:r>
              <w:t>1.2 / 24 October 2026</w:t>
            </w:r>
          </w:p>
        </w:tc>
      </w:tr>
      <w:tr>
        <w:trPr>
          <w:cantSplit/>
        </w:trPr>
        <w:tc>
          <w:tcPr>
            <w:tcW w:type="dxa" w:w="2376"/>
            <w:vAlign w:val="top"/>
          </w:tcPr>
          <w:p>
            <w:pPr>
              <w:spacing w:after="0" w:before="0"/>
            </w:pPr>
            <w:r/>
            <w:r>
              <w:rPr>
                <w:rFonts w:ascii="Aptos" w:hAnsi="Aptos"/>
                <w:b w:val="0"/>
                <w:sz w:val="18"/>
              </w:rPr>
              <w:t>Status</w:t>
            </w:r>
          </w:p>
        </w:tc>
        <w:tc>
          <w:tcPr>
            <w:tcW w:type="dxa" w:w="8064"/>
            <w:vAlign w:val="top"/>
          </w:tcPr>
          <w:p>
            <w:r>
              <w:t>Revised for Group 1 alignment review</w:t>
            </w:r>
          </w:p>
        </w:tc>
      </w:tr>
      <w:tr>
        <w:trPr>
          <w:cantSplit/>
        </w:trPr>
        <w:tc>
          <w:tcPr>
            <w:tcW w:type="dxa" w:w="2376"/>
            <w:vAlign w:val="top"/>
            <w:shd w:fill="F5F8FB"/>
          </w:tcPr>
          <w:p>
            <w:pPr>
              <w:spacing w:after="0" w:before="0"/>
            </w:pPr>
            <w:r/>
            <w:r>
              <w:rPr>
                <w:rFonts w:ascii="Aptos" w:hAnsi="Aptos"/>
                <w:b w:val="0"/>
                <w:sz w:val="18"/>
              </w:rPr>
              <w:t>Source baseline</w:t>
            </w:r>
          </w:p>
        </w:tc>
        <w:tc>
          <w:tcPr>
            <w:tcW w:type="dxa" w:w="8064"/>
            <w:vAlign w:val="top"/>
            <w:shd w:fill="F5F8FB"/>
          </w:tcPr>
          <w:p>
            <w:r>
              <w:t>Industrial Knowledge Base G1 workbook</w:t>
            </w:r>
          </w:p>
        </w:tc>
      </w:tr>
    </w:tbl>
    <w:p>
      <w:pPr>
        <w:spacing w:after="0"/>
      </w:pPr>
    </w:p>
    <w:p>
      <w:r>
        <w:br/>
      </w:r>
    </w:p>
    <w:p>
      <w:pPr>
        <w:spacing w:after="0"/>
      </w:pPr>
    </w:p>
    <w:p>
      <w:r>
        <w:br w:type="page"/>
      </w:r>
    </w:p>
    <w:p>
      <w:pPr>
        <w:pStyle w:val="Heading1"/>
        <w:keepNext/>
      </w:pPr>
      <w:r>
        <w:t>1. Purpose and design boundary</w:t>
      </w:r>
    </w:p>
    <w:p>
      <w:r>
        <w:t>This document defines the proposed logical data model for Operational Sense. It identifies entities, attributes, primary and foreign keys, relationship cardinalities, integrity rules and mappings from the G1 workbook. The design separates reusable domain reference data from individual troubleshooting scenarios and from real asset records.</w:t>
      </w:r>
    </w:p>
    <w:p>
      <w:r>
        <w:t>The model supports the current synthetic troubleshooting corpus and leaves explicit extension points for the agreed equipment hierarchy, asset criticality assessments, FMEA records, source traceability, review history and future AI &amp; Retrieval metadata.</w:t>
      </w:r>
    </w:p>
    <w:p>
      <w:pPr>
        <w:pStyle w:val="Heading2"/>
        <w:keepNext/>
      </w:pPr>
      <w:r>
        <w:t>In scope</w:t>
      </w:r>
    </w:p>
    <w:p>
      <w:pPr>
        <w:pStyle w:val="ListBullet"/>
        <w:spacing w:after="40"/>
      </w:pPr>
      <w:r>
        <w:t>Logical entities and key attributes; primary-key and foreign-key intent.</w:t>
      </w:r>
    </w:p>
    <w:p>
      <w:pPr>
        <w:pStyle w:val="ListBullet"/>
        <w:spacing w:after="40"/>
      </w:pPr>
      <w:r>
        <w:t>Relationships, cardinality and referential-integrity rules.</w:t>
      </w:r>
    </w:p>
    <w:p>
      <w:pPr>
        <w:pStyle w:val="ListBullet"/>
        <w:spacing w:after="40"/>
      </w:pPr>
      <w:r>
        <w:t>Mapping from workbook sheets/fields to proposed database entities.</w:t>
      </w:r>
    </w:p>
    <w:p>
      <w:pPr>
        <w:pStyle w:val="ListBullet"/>
        <w:spacing w:after="40"/>
      </w:pPr>
      <w:r>
        <w:t>Design decisions, assumptions, unresolved dependencies and cross-group review requests.</w:t>
      </w:r>
    </w:p>
    <w:p>
      <w:pPr>
        <w:pStyle w:val="Heading2"/>
        <w:keepNext/>
      </w:pPr>
      <w:r>
        <w:t>Outside this deliverable</w:t>
      </w:r>
    </w:p>
    <w:p>
      <w:pPr>
        <w:pStyle w:val="ListBullet"/>
        <w:spacing w:after="40"/>
      </w:pPr>
      <w:r>
        <w:t>PostgreSQL DDL, migrations, indexes, triggers and production loading scripts (M05 implementation).</w:t>
      </w:r>
    </w:p>
    <w:p>
      <w:pPr>
        <w:pStyle w:val="ListBullet"/>
        <w:spacing w:after="40"/>
      </w:pPr>
      <w:r>
        <w:t>Production asset onboarding and final hierarchy seed records (M06 / Group 1).</w:t>
      </w:r>
    </w:p>
    <w:p>
      <w:pPr>
        <w:pStyle w:val="ListBullet"/>
        <w:spacing w:after="40"/>
      </w:pPr>
      <w:r>
        <w:t>Embedding generation, vector search, API, UI and deployment.</w:t>
      </w:r>
    </w:p>
    <w:p>
      <w:pPr>
        <w:pStyle w:val="ListBullet"/>
        <w:spacing w:after="40"/>
      </w:pPr>
      <w:r>
        <w:t>Domain approval of synthetic scenarios, failure taxonomy, criticality scoring or FMEA ratings.</w:t>
      </w:r>
    </w:p>
    <w:p>
      <w:pPr>
        <w:pStyle w:val="Heading1"/>
        <w:keepNext/>
      </w:pPr>
      <w:r>
        <w:t>2. Source workbook audit</w:t>
      </w:r>
    </w:p>
    <w:p>
      <w:r>
        <w:t>This design is based on the supplied G1 workbook. The counts below are reproducible checks of the workbook structure; they do not indicate that the technical content has been approved.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365D"/>
            <w:vAlign w:val="top"/>
          </w:tcPr>
          <w:p>
            <w:pPr>
              <w:spacing w:after="0" w:before="0"/>
            </w:pPr>
            <w:r/>
            <w:r>
              <w:rPr>
                <w:rFonts w:ascii="Aptos" w:hAnsi="Aptos"/>
                <w:b/>
                <w:color w:val="FFFFFF"/>
                <w:sz w:val="17"/>
              </w:rPr>
              <w:t>Check</w:t>
            </w:r>
          </w:p>
        </w:tc>
        <w:tc>
          <w:tcPr>
            <w:tcW w:type="dxa" w:w="2232"/>
            <w:shd w:fill="17365D"/>
            <w:vAlign w:val="top"/>
          </w:tcPr>
          <w:p>
            <w:pPr>
              <w:spacing w:after="0" w:before="0"/>
            </w:pPr>
            <w:r/>
            <w:r>
              <w:rPr>
                <w:rFonts w:ascii="Aptos" w:hAnsi="Aptos"/>
                <w:b/>
                <w:color w:val="FFFFFF"/>
                <w:sz w:val="17"/>
              </w:rPr>
              <w:t>Observed result</w:t>
            </w:r>
          </w:p>
        </w:tc>
        <w:tc>
          <w:tcPr>
            <w:tcW w:type="dxa" w:w="6048"/>
            <w:shd w:fill="17365D"/>
            <w:vAlign w:val="top"/>
          </w:tcPr>
          <w:p>
            <w:pPr>
              <w:spacing w:after="0" w:before="0"/>
            </w:pPr>
            <w:r/>
            <w:r>
              <w:rPr>
                <w:rFonts w:ascii="Aptos" w:hAnsi="Aptos"/>
                <w:b/>
                <w:color w:val="FFFFFF"/>
                <w:sz w:val="17"/>
              </w:rPr>
              <w:t>Design consequence</w:t>
            </w:r>
          </w:p>
        </w:tc>
      </w:tr>
      <w:tr>
        <w:trPr>
          <w:cantSplit/>
        </w:trPr>
        <w:tc>
          <w:tcPr>
            <w:tcW w:type="dxa" w:w="2232"/>
            <w:vAlign w:val="top"/>
          </w:tcPr>
          <w:p>
            <w:pPr>
              <w:spacing w:after="0" w:before="0"/>
            </w:pPr>
            <w:r/>
            <w:r>
              <w:rPr>
                <w:rFonts w:ascii="Aptos" w:hAnsi="Aptos"/>
                <w:b w:val="0"/>
                <w:sz w:val="17"/>
              </w:rPr>
              <w:t>Worksheets</w:t>
            </w:r>
          </w:p>
        </w:tc>
        <w:tc>
          <w:tcPr>
            <w:tcW w:type="dxa" w:w="2232"/>
            <w:vAlign w:val="top"/>
          </w:tcPr>
          <w:p>
            <w:pPr>
              <w:spacing w:after="0" w:before="0"/>
            </w:pPr>
            <w:r/>
            <w:r>
              <w:rPr>
                <w:rFonts w:ascii="Aptos" w:hAnsi="Aptos"/>
                <w:b w:val="0"/>
                <w:sz w:val="17"/>
              </w:rPr>
              <w:t>18</w:t>
            </w:r>
          </w:p>
        </w:tc>
        <w:tc>
          <w:tcPr>
            <w:tcW w:type="dxa" w:w="6048"/>
            <w:vAlign w:val="top"/>
          </w:tcPr>
          <w:p>
            <w:pPr>
              <w:spacing w:after="0" w:before="0"/>
            </w:pPr>
            <w:r/>
            <w:r>
              <w:rPr>
                <w:rFonts w:ascii="Aptos" w:hAnsi="Aptos"/>
                <w:b w:val="0"/>
                <w:sz w:val="17"/>
              </w:rPr>
              <w:t>18 worksheets in the workbook.</w:t>
            </w:r>
          </w:p>
        </w:tc>
      </w:tr>
      <w:tr>
        <w:trPr>
          <w:cantSplit/>
        </w:trPr>
        <w:tc>
          <w:tcPr>
            <w:tcW w:type="dxa" w:w="2232"/>
            <w:vAlign w:val="top"/>
            <w:shd w:fill="F5F8FB"/>
          </w:tcPr>
          <w:p>
            <w:pPr>
              <w:spacing w:after="0" w:before="0"/>
            </w:pPr>
            <w:r/>
            <w:r>
              <w:rPr>
                <w:rFonts w:ascii="Aptos" w:hAnsi="Aptos"/>
                <w:b w:val="0"/>
                <w:sz w:val="17"/>
              </w:rPr>
              <w:t>Troubleshooting cases</w:t>
            </w:r>
          </w:p>
        </w:tc>
        <w:tc>
          <w:tcPr>
            <w:tcW w:type="dxa" w:w="2232"/>
            <w:vAlign w:val="top"/>
            <w:shd w:fill="F5F8FB"/>
          </w:tcPr>
          <w:p>
            <w:pPr>
              <w:spacing w:after="0" w:before="0"/>
            </w:pPr>
            <w:r/>
            <w:r>
              <w:rPr>
                <w:rFonts w:ascii="Aptos" w:hAnsi="Aptos"/>
                <w:b w:val="0"/>
                <w:sz w:val="17"/>
              </w:rPr>
              <w:t>50</w:t>
            </w:r>
          </w:p>
        </w:tc>
        <w:tc>
          <w:tcPr>
            <w:tcW w:type="dxa" w:w="6048"/>
            <w:vAlign w:val="top"/>
            <w:shd w:fill="F5F8FB"/>
          </w:tcPr>
          <w:p>
            <w:pPr>
              <w:spacing w:after="0" w:before="0"/>
            </w:pPr>
            <w:r/>
            <w:r>
              <w:rPr>
                <w:rFonts w:ascii="Aptos" w:hAnsi="Aptos"/>
                <w:b w:val="0"/>
                <w:sz w:val="17"/>
              </w:rPr>
              <w:t>50 rows in Import_View; IDs are unique in this snapshot.</w:t>
            </w:r>
          </w:p>
        </w:tc>
      </w:tr>
      <w:tr>
        <w:trPr>
          <w:cantSplit/>
        </w:trPr>
        <w:tc>
          <w:tcPr>
            <w:tcW w:type="dxa" w:w="2232"/>
            <w:vAlign w:val="top"/>
          </w:tcPr>
          <w:p>
            <w:pPr>
              <w:spacing w:after="0" w:before="0"/>
            </w:pPr>
            <w:r/>
            <w:r>
              <w:rPr>
                <w:rFonts w:ascii="Aptos" w:hAnsi="Aptos"/>
                <w:b w:val="0"/>
                <w:sz w:val="17"/>
              </w:rPr>
              <w:t>Case distribution</w:t>
            </w:r>
          </w:p>
        </w:tc>
        <w:tc>
          <w:tcPr>
            <w:tcW w:type="dxa" w:w="2232"/>
            <w:vAlign w:val="top"/>
          </w:tcPr>
          <w:p>
            <w:r>
              <w:t>17 centrifugal pump; 17 three-phase induction motor; 16 rotary screw air compressor cases</w:t>
            </w:r>
          </w:p>
        </w:tc>
        <w:tc>
          <w:tcPr>
            <w:tcW w:type="dxa" w:w="6048"/>
            <w:vAlign w:val="top"/>
          </w:tcPr>
          <w:p>
            <w:r>
              <w:t>The 50 cases cover three equipment classes.</w:t>
            </w:r>
          </w:p>
        </w:tc>
      </w:tr>
      <w:tr>
        <w:trPr>
          <w:cantSplit/>
        </w:trPr>
        <w:tc>
          <w:tcPr>
            <w:tcW w:type="dxa" w:w="2232"/>
            <w:vAlign w:val="top"/>
            <w:shd w:fill="F5F8FB"/>
          </w:tcPr>
          <w:p>
            <w:pPr>
              <w:spacing w:after="0" w:before="0"/>
            </w:pPr>
            <w:r/>
            <w:r>
              <w:rPr>
                <w:rFonts w:ascii="Aptos" w:hAnsi="Aptos"/>
                <w:b w:val="0"/>
                <w:sz w:val="17"/>
              </w:rPr>
              <w:t>Diagnostic steps</w:t>
            </w:r>
          </w:p>
        </w:tc>
        <w:tc>
          <w:tcPr>
            <w:tcW w:type="dxa" w:w="2232"/>
            <w:vAlign w:val="top"/>
            <w:shd w:fill="F5F8FB"/>
          </w:tcPr>
          <w:p>
            <w:pPr>
              <w:spacing w:after="0" w:before="0"/>
            </w:pPr>
            <w:r/>
            <w:r>
              <w:rPr>
                <w:rFonts w:ascii="Aptos" w:hAnsi="Aptos"/>
                <w:b w:val="0"/>
                <w:sz w:val="17"/>
              </w:rPr>
              <w:t>350</w:t>
            </w:r>
          </w:p>
        </w:tc>
        <w:tc>
          <w:tcPr>
            <w:tcW w:type="dxa" w:w="6048"/>
            <w:vAlign w:val="top"/>
            <w:shd w:fill="F5F8FB"/>
          </w:tcPr>
          <w:p>
            <w:pPr>
              <w:spacing w:after="0" w:before="0"/>
            </w:pPr>
            <w:r/>
            <w:r>
              <w:rPr>
                <w:rFonts w:ascii="Aptos" w:hAnsi="Aptos"/>
                <w:b w:val="0"/>
                <w:sz w:val="17"/>
              </w:rPr>
              <w:t>350 rows in Diagnostic_Steps; IDs are unique in this snapshot.</w:t>
            </w:r>
          </w:p>
        </w:tc>
      </w:tr>
      <w:tr>
        <w:trPr>
          <w:cantSplit/>
        </w:trPr>
        <w:tc>
          <w:tcPr>
            <w:tcW w:type="dxa" w:w="2232"/>
            <w:vAlign w:val="top"/>
          </w:tcPr>
          <w:p>
            <w:pPr>
              <w:spacing w:after="0" w:before="0"/>
            </w:pPr>
            <w:r/>
            <w:r>
              <w:rPr>
                <w:rFonts w:ascii="Aptos" w:hAnsi="Aptos"/>
                <w:b w:val="0"/>
                <w:sz w:val="17"/>
              </w:rPr>
              <w:t>Taxonomy gaps</w:t>
            </w:r>
          </w:p>
        </w:tc>
        <w:tc>
          <w:tcPr>
            <w:tcW w:type="dxa" w:w="2232"/>
            <w:vAlign w:val="top"/>
          </w:tcPr>
          <w:p>
            <w:pPr>
              <w:spacing w:after="0" w:before="0"/>
            </w:pPr>
            <w:r/>
            <w:r>
              <w:rPr>
                <w:rFonts w:ascii="Aptos" w:hAnsi="Aptos"/>
                <w:b w:val="0"/>
                <w:sz w:val="17"/>
              </w:rPr>
              <w:t>11</w:t>
            </w:r>
          </w:p>
        </w:tc>
        <w:tc>
          <w:tcPr>
            <w:tcW w:type="dxa" w:w="6048"/>
            <w:vAlign w:val="top"/>
          </w:tcPr>
          <w:p>
            <w:pPr>
              <w:spacing w:after="0" w:before="0"/>
            </w:pPr>
            <w:r/>
            <w:r>
              <w:rPr>
                <w:rFonts w:ascii="Aptos" w:hAnsi="Aptos"/>
                <w:b w:val="0"/>
                <w:sz w:val="17"/>
              </w:rPr>
              <w:t>Source quality report flags 11 cases without a taxonomy code.</w:t>
            </w:r>
          </w:p>
        </w:tc>
      </w:tr>
      <w:tr>
        <w:trPr>
          <w:cantSplit/>
        </w:trPr>
        <w:tc>
          <w:tcPr>
            <w:tcW w:type="dxa" w:w="2232"/>
            <w:vAlign w:val="top"/>
            <w:shd w:fill="F5F8FB"/>
          </w:tcPr>
          <w:p>
            <w:pPr>
              <w:spacing w:after="0" w:before="0"/>
            </w:pPr>
            <w:r/>
            <w:r>
              <w:rPr>
                <w:rFonts w:ascii="Aptos" w:hAnsi="Aptos"/>
                <w:b w:val="0"/>
                <w:sz w:val="17"/>
              </w:rPr>
              <w:t>Ambiguous mappings</w:t>
            </w:r>
          </w:p>
        </w:tc>
        <w:tc>
          <w:tcPr>
            <w:tcW w:type="dxa" w:w="2232"/>
            <w:vAlign w:val="top"/>
            <w:shd w:fill="F5F8FB"/>
          </w:tcPr>
          <w:p>
            <w:pPr>
              <w:spacing w:after="0" w:before="0"/>
            </w:pPr>
            <w:r/>
            <w:r>
              <w:rPr>
                <w:rFonts w:ascii="Aptos" w:hAnsi="Aptos"/>
                <w:b w:val="0"/>
                <w:sz w:val="17"/>
              </w:rPr>
              <w:t>13</w:t>
            </w:r>
          </w:p>
        </w:tc>
        <w:tc>
          <w:tcPr>
            <w:tcW w:type="dxa" w:w="6048"/>
            <w:vAlign w:val="top"/>
            <w:shd w:fill="F5F8FB"/>
          </w:tcPr>
          <w:p>
            <w:pPr>
              <w:spacing w:after="0" w:before="0"/>
            </w:pPr>
            <w:r/>
            <w:r>
              <w:rPr>
                <w:rFonts w:ascii="Aptos" w:hAnsi="Aptos"/>
                <w:b w:val="0"/>
                <w:sz w:val="17"/>
              </w:rPr>
              <w:t>Mapping_Validation flags 13 ambiguous mappings.</w:t>
            </w:r>
          </w:p>
        </w:tc>
      </w:tr>
      <w:tr>
        <w:trPr>
          <w:cantSplit/>
        </w:trPr>
        <w:tc>
          <w:tcPr>
            <w:tcW w:type="dxa" w:w="2232"/>
            <w:vAlign w:val="top"/>
          </w:tcPr>
          <w:p>
            <w:pPr>
              <w:spacing w:after="0" w:before="0"/>
            </w:pPr>
            <w:r/>
            <w:r>
              <w:rPr>
                <w:rFonts w:ascii="Aptos" w:hAnsi="Aptos"/>
                <w:b w:val="0"/>
                <w:sz w:val="17"/>
              </w:rPr>
              <w:t>Expert validation</w:t>
            </w:r>
          </w:p>
        </w:tc>
        <w:tc>
          <w:tcPr>
            <w:tcW w:type="dxa" w:w="2232"/>
            <w:vAlign w:val="top"/>
          </w:tcPr>
          <w:p>
            <w:pPr>
              <w:spacing w:after="0" w:before="0"/>
            </w:pPr>
            <w:r/>
            <w:r>
              <w:rPr>
                <w:rFonts w:ascii="Aptos" w:hAnsi="Aptos"/>
                <w:b w:val="0"/>
                <w:sz w:val="17"/>
              </w:rPr>
              <w:t>50 pending</w:t>
            </w:r>
          </w:p>
        </w:tc>
        <w:tc>
          <w:tcPr>
            <w:tcW w:type="dxa" w:w="6048"/>
            <w:vAlign w:val="top"/>
          </w:tcPr>
          <w:p>
            <w:pPr>
              <w:spacing w:after="0" w:before="0"/>
            </w:pPr>
            <w:r/>
            <w:r>
              <w:rPr>
                <w:rFonts w:ascii="Aptos" w:hAnsi="Aptos"/>
                <w:b w:val="0"/>
                <w:sz w:val="17"/>
              </w:rPr>
              <w:t>Verification_Records has pending overall decisions; no reviewer sign-off is recorded.</w:t>
            </w:r>
          </w:p>
        </w:tc>
      </w:tr>
      <w:tr>
        <w:trPr>
          <w:cantSplit/>
        </w:trPr>
        <w:tc>
          <w:tcPr>
            <w:tcW w:type="dxa" w:w="2232"/>
            <w:vAlign w:val="top"/>
            <w:shd w:fill="F5F8FB"/>
          </w:tcPr>
          <w:p>
            <w:pPr>
              <w:spacing w:after="0" w:before="0"/>
            </w:pPr>
            <w:r/>
            <w:r>
              <w:rPr>
                <w:rFonts w:ascii="Aptos" w:hAnsi="Aptos"/>
                <w:b w:val="0"/>
                <w:sz w:val="17"/>
              </w:rPr>
              <w:t>Source URL verification</w:t>
            </w:r>
          </w:p>
        </w:tc>
        <w:tc>
          <w:tcPr>
            <w:tcW w:type="dxa" w:w="2232"/>
            <w:vAlign w:val="top"/>
            <w:shd w:fill="F5F8FB"/>
          </w:tcPr>
          <w:p>
            <w:pPr>
              <w:spacing w:after="0" w:before="0"/>
            </w:pPr>
            <w:r/>
            <w:r>
              <w:rPr>
                <w:rFonts w:ascii="Aptos" w:hAnsi="Aptos"/>
                <w:b w:val="0"/>
                <w:sz w:val="17"/>
              </w:rPr>
              <w:t>Not run</w:t>
            </w:r>
          </w:p>
        </w:tc>
        <w:tc>
          <w:tcPr>
            <w:tcW w:type="dxa" w:w="6048"/>
            <w:vAlign w:val="top"/>
            <w:shd w:fill="F5F8FB"/>
          </w:tcPr>
          <w:p>
            <w:pPr>
              <w:spacing w:after="0" w:before="0"/>
            </w:pPr>
            <w:r/>
            <w:r>
              <w:rPr>
                <w:rFonts w:ascii="Aptos" w:hAnsi="Aptos"/>
                <w:b w:val="0"/>
                <w:sz w:val="17"/>
              </w:rPr>
              <w:t>Data_Quality_Report says URL validation was not performed.</w:t>
            </w:r>
          </w:p>
        </w:tc>
      </w:tr>
    </w:tbl>
    <w:p>
      <w:pPr/>
      <w:r>
        <w:t>Data handling note: The source workbook identifies all troubleshooting cases as synthetic scenarios. Equipment models are illustrative; do not load these examples as real plant assets or treat suspected causes as confirmed root causes.</w:t>
      </w:r>
    </w:p>
    <w:p>
      <w:pPr>
        <w:spacing w:before="0" w:after="0" w:line="20" w:lineRule="exact"/>
        <w:sectPr>
          <w:headerReference w:type="default" r:id="rId9"/>
          <w:footerReference w:type="default" r:id="rId10"/>
          <w:pgSz w:w="12240" w:h="15840"/>
          <w:pgMar w:top="936" w:right="1037" w:bottom="936" w:left="1037" w:header="504" w:footer="504" w:gutter="0"/>
          <w:cols w:space="720"/>
          <w:docGrid w:linePitch="360"/>
        </w:sectPr>
      </w:pPr>
    </w:p>
    <w:p>
      <w:pPr>
        <w:pStyle w:val="Heading1"/>
        <w:keepNext/>
      </w:pPr>
      <w:r>
        <w:t>3. Logical model overview</w:t>
      </w:r>
    </w:p>
    <w:p>
      <w:r>
        <w:t>The model is organized into asset hierarchy; troubleshooting cases and diagnostic steps; failure taxonomy and case mappings; source/reference data; and review/assessment records. The ERD views are split for legibility. Relationship cardinalities and join rules are defined in Section 5 and the Relationships worksheet.</w:t>
      </w:r>
    </w:p>
    <w:p>
      <w:pPr>
        <w:pStyle w:val="Heading2"/>
        <w:keepNext/>
      </w:pPr>
      <w:r>
        <w:t>3.1 Core case and hierarchy model</w:t>
      </w:r>
    </w:p>
    <w:p>
      <w:r>
        <w:drawing>
          <wp:inline xmlns:a="http://schemas.openxmlformats.org/drawingml/2006/main" xmlns:pic="http://schemas.openxmlformats.org/drawingml/2006/picture">
            <wp:extent cx="7498079" cy="4403043"/>
            <wp:docPr id="1" name="Picture 1"/>
            <wp:cNvGraphicFramePr>
              <a:graphicFrameLocks noChangeAspect="1"/>
            </wp:cNvGraphicFramePr>
            <a:graphic>
              <a:graphicData uri="http://schemas.openxmlformats.org/drawingml/2006/picture">
                <pic:pic>
                  <pic:nvPicPr>
                    <pic:cNvPr id="0" name="M04_ERD_Core.png"/>
                    <pic:cNvPicPr/>
                  </pic:nvPicPr>
                  <pic:blipFill>
                    <a:blip r:embed="rId11"/>
                    <a:stretch>
                      <a:fillRect/>
                    </a:stretch>
                  </pic:blipFill>
                  <pic:spPr>
                    <a:xfrm>
                      <a:off x="0" y="0"/>
                      <a:ext cx="7498079" cy="4403043"/>
                    </a:xfrm>
                    <a:prstGeom prst="rect"/>
                  </pic:spPr>
                </pic:pic>
              </a:graphicData>
            </a:graphic>
          </wp:inline>
        </w:drawing>
      </w:r>
    </w:p>
    <w:p>
      <w:pPr>
        <w:sectPr>
          <w:pgSz w:w="15840" w:h="12240" w:orient="landscape"/>
          <w:pgMar w:top="605" w:right="720" w:bottom="605" w:left="720" w:header="504" w:footer="504" w:gutter="0"/>
          <w:cols w:space="720"/>
          <w:docGrid w:linePitch="360"/>
        </w:sectPr>
      </w:pPr>
    </w:p>
    <w:p>
      <w:pPr>
        <w:pStyle w:val="Heading2"/>
        <w:keepNext/>
      </w:pPr>
      <w:r>
        <w:t>3.2 Source, safety and review relationships</w:t>
      </w:r>
    </w:p>
    <w:p>
      <w:r>
        <w:drawing>
          <wp:inline xmlns:a="http://schemas.openxmlformats.org/drawingml/2006/main" xmlns:pic="http://schemas.openxmlformats.org/drawingml/2006/picture">
            <wp:extent cx="6766560" cy="5946948"/>
            <wp:docPr id="2" name="Picture 2"/>
            <wp:cNvGraphicFramePr>
              <a:graphicFrameLocks noChangeAspect="1"/>
            </wp:cNvGraphicFramePr>
            <a:graphic>
              <a:graphicData uri="http://schemas.openxmlformats.org/drawingml/2006/picture">
                <pic:pic>
                  <pic:nvPicPr>
                    <pic:cNvPr id="0" name="M04_ERD_References.png"/>
                    <pic:cNvPicPr/>
                  </pic:nvPicPr>
                  <pic:blipFill>
                    <a:blip r:embed="rId12"/>
                    <a:stretch>
                      <a:fillRect/>
                    </a:stretch>
                  </pic:blipFill>
                  <pic:spPr>
                    <a:xfrm>
                      <a:off x="0" y="0"/>
                      <a:ext cx="6766560" cy="5946948"/>
                    </a:xfrm>
                    <a:prstGeom prst="rect"/>
                  </pic:spPr>
                </pic:pic>
              </a:graphicData>
            </a:graphic>
          </wp:inline>
        </w:drawing>
      </w:r>
    </w:p>
    <w:p>
      <w:pPr>
        <w:sectPr>
          <w:pgSz w:w="15840" w:h="12240" w:orient="landscape"/>
          <w:pgMar w:top="605" w:right="720" w:bottom="605" w:left="720" w:header="504" w:footer="504" w:gutter="0"/>
          <w:cols w:space="720"/>
          <w:docGrid w:linePitch="360"/>
        </w:sectPr>
      </w:pPr>
    </w:p>
    <w:p>
      <w:pPr>
        <w:pStyle w:val="Heading2"/>
        <w:keepNext/>
      </w:pPr>
      <w:r>
        <w:t>3.3 Asset criticality, FMEA and measurement relationships</w:t>
      </w:r>
    </w:p>
    <w:p>
      <w:r>
        <w:drawing>
          <wp:inline xmlns:a="http://schemas.openxmlformats.org/drawingml/2006/main" xmlns:pic="http://schemas.openxmlformats.org/drawingml/2006/picture">
            <wp:extent cx="7498079" cy="3545186"/>
            <wp:docPr id="3" name="Picture 3"/>
            <wp:cNvGraphicFramePr>
              <a:graphicFrameLocks noChangeAspect="1"/>
            </wp:cNvGraphicFramePr>
            <a:graphic>
              <a:graphicData uri="http://schemas.openxmlformats.org/drawingml/2006/picture">
                <pic:pic>
                  <pic:nvPicPr>
                    <pic:cNvPr id="0" name="M04_ERD_Assessment.png"/>
                    <pic:cNvPicPr/>
                  </pic:nvPicPr>
                  <pic:blipFill>
                    <a:blip r:embed="rId13"/>
                    <a:stretch>
                      <a:fillRect/>
                    </a:stretch>
                  </pic:blipFill>
                  <pic:spPr>
                    <a:xfrm>
                      <a:off x="0" y="0"/>
                      <a:ext cx="7498079" cy="3545186"/>
                    </a:xfrm>
                    <a:prstGeom prst="rect"/>
                  </pic:spPr>
                </pic:pic>
              </a:graphicData>
            </a:graphic>
          </wp:inline>
        </w:drawing>
      </w:r>
    </w:p>
    <w:p>
      <w:pPr>
        <w:sectPr>
          <w:pgSz w:w="15840" w:h="12240" w:orient="landscape"/>
          <w:pgMar w:top="605" w:right="720" w:bottom="605" w:left="720" w:header="504" w:footer="504" w:gutter="0"/>
          <w:cols w:space="720"/>
          <w:docGrid w:linePitch="360"/>
        </w:sectPr>
      </w:pPr>
    </w:p>
    <w:p>
      <w:pPr>
        <w:pStyle w:val="Heading1"/>
        <w:keepNext/>
      </w:pPr>
      <w:r>
        <w:t>4. Entity catalogue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232"/>
            <w:shd w:fill="17365D"/>
            <w:vAlign w:val="top"/>
          </w:tcPr>
          <w:p>
            <w:pPr>
              <w:spacing w:after="0" w:before="0"/>
            </w:pPr>
            <w:r/>
            <w:r>
              <w:rPr>
                <w:rFonts w:ascii="Aptos" w:hAnsi="Aptos"/>
                <w:b/>
                <w:color w:val="FFFFFF"/>
                <w:sz w:val="15"/>
              </w:rPr>
              <w:t>Entity</w:t>
            </w:r>
          </w:p>
        </w:tc>
        <w:tc>
          <w:tcPr>
            <w:tcW w:type="dxa" w:w="3672"/>
            <w:shd w:fill="17365D"/>
            <w:vAlign w:val="top"/>
          </w:tcPr>
          <w:p>
            <w:pPr>
              <w:spacing w:after="0" w:before="0"/>
            </w:pPr>
            <w:r/>
            <w:r>
              <w:rPr>
                <w:rFonts w:ascii="Aptos" w:hAnsi="Aptos"/>
                <w:b/>
                <w:color w:val="FFFFFF"/>
                <w:sz w:val="15"/>
              </w:rPr>
              <w:t>Responsibility</w:t>
            </w:r>
          </w:p>
        </w:tc>
        <w:tc>
          <w:tcPr>
            <w:tcW w:type="dxa" w:w="2088"/>
            <w:shd w:fill="17365D"/>
            <w:vAlign w:val="top"/>
          </w:tcPr>
          <w:p>
            <w:pPr>
              <w:spacing w:after="0" w:before="0"/>
            </w:pPr>
            <w:r/>
            <w:r>
              <w:rPr>
                <w:rFonts w:ascii="Aptos" w:hAnsi="Aptos"/>
                <w:b/>
                <w:color w:val="FFFFFF"/>
                <w:sz w:val="15"/>
              </w:rPr>
              <w:t>Primary key</w:t>
            </w:r>
          </w:p>
        </w:tc>
        <w:tc>
          <w:tcPr>
            <w:tcW w:type="dxa" w:w="2736"/>
            <w:shd w:fill="17365D"/>
            <w:vAlign w:val="top"/>
          </w:tcPr>
          <w:p>
            <w:pPr>
              <w:spacing w:after="0" w:before="0"/>
            </w:pPr>
            <w:r/>
            <w:r>
              <w:rPr>
                <w:rFonts w:ascii="Aptos" w:hAnsi="Aptos"/>
                <w:b/>
                <w:color w:val="FFFFFF"/>
                <w:sz w:val="15"/>
              </w:rPr>
              <w:t>Source / status</w:t>
            </w:r>
          </w:p>
        </w:tc>
      </w:tr>
      <w:tr>
        <w:trPr>
          <w:cantSplit/>
        </w:trPr>
        <w:tc>
          <w:tcPr>
            <w:tcW w:type="dxa" w:w="2232"/>
            <w:vAlign w:val="top"/>
          </w:tcPr>
          <w:p>
            <w:pPr>
              <w:spacing w:after="0" w:before="0"/>
            </w:pPr>
            <w:r/>
            <w:r>
              <w:rPr>
                <w:rFonts w:ascii="Aptos" w:hAnsi="Aptos"/>
                <w:b w:val="0"/>
                <w:sz w:val="15"/>
              </w:rPr>
              <w:t>EQUIPMENT_CLASS</w:t>
            </w:r>
          </w:p>
        </w:tc>
        <w:tc>
          <w:tcPr>
            <w:tcW w:type="dxa" w:w="3672"/>
            <w:vAlign w:val="top"/>
          </w:tcPr>
          <w:p>
            <w:pPr>
              <w:spacing w:after="0" w:before="0"/>
            </w:pPr>
            <w:r/>
            <w:r>
              <w:rPr>
                <w:rFonts w:ascii="Aptos" w:hAnsi="Aptos"/>
                <w:b w:val="0"/>
                <w:sz w:val="15"/>
              </w:rPr>
              <w:t>Controlled equipment-class list</w:t>
            </w:r>
          </w:p>
        </w:tc>
        <w:tc>
          <w:tcPr>
            <w:tcW w:type="dxa" w:w="2088"/>
            <w:vAlign w:val="top"/>
          </w:tcPr>
          <w:p>
            <w:pPr>
              <w:spacing w:after="0" w:before="0"/>
            </w:pPr>
            <w:r/>
            <w:r>
              <w:rPr>
                <w:rFonts w:ascii="Aptos" w:hAnsi="Aptos"/>
                <w:b w:val="0"/>
                <w:sz w:val="15"/>
              </w:rPr>
              <w:t>equipment_class_id</w:t>
            </w:r>
          </w:p>
        </w:tc>
        <w:tc>
          <w:tcPr>
            <w:tcW w:type="dxa" w:w="2736"/>
            <w:vAlign w:val="top"/>
          </w:tcPr>
          <w:p>
            <w:pPr>
              <w:spacing w:after="0" w:before="0"/>
            </w:pPr>
            <w:r/>
            <w:r>
              <w:rPr>
                <w:rFonts w:ascii="Aptos" w:hAnsi="Aptos"/>
                <w:b w:val="0"/>
                <w:sz w:val="15"/>
              </w:rPr>
              <w:t>Equipment_Reference; Import_View</w:t>
            </w:r>
          </w:p>
        </w:tc>
      </w:tr>
      <w:tr>
        <w:trPr>
          <w:cantSplit/>
        </w:trPr>
        <w:tc>
          <w:tcPr>
            <w:tcW w:type="dxa" w:w="2232"/>
            <w:vAlign w:val="top"/>
            <w:shd w:fill="F5F8FB"/>
          </w:tcPr>
          <w:p>
            <w:pPr>
              <w:spacing w:after="0" w:before="0"/>
            </w:pPr>
            <w:r/>
            <w:r>
              <w:rPr>
                <w:rFonts w:ascii="Aptos" w:hAnsi="Aptos"/>
                <w:b w:val="0"/>
                <w:sz w:val="15"/>
              </w:rPr>
              <w:t>ASSET_NODE</w:t>
            </w:r>
          </w:p>
        </w:tc>
        <w:tc>
          <w:tcPr>
            <w:tcW w:type="dxa" w:w="3672"/>
            <w:vAlign w:val="top"/>
            <w:shd w:fill="F5F8FB"/>
          </w:tcPr>
          <w:p>
            <w:pPr>
              <w:spacing w:after="0" w:before="0"/>
            </w:pPr>
            <w:r/>
            <w:r>
              <w:rPr>
                <w:rFonts w:ascii="Aptos" w:hAnsi="Aptos"/>
                <w:b w:val="0"/>
                <w:sz w:val="15"/>
              </w:rPr>
              <w:t>Plant/Area/System/Equipment/Component hierarchy node</w:t>
            </w:r>
          </w:p>
        </w:tc>
        <w:tc>
          <w:tcPr>
            <w:tcW w:type="dxa" w:w="2088"/>
            <w:vAlign w:val="top"/>
            <w:shd w:fill="F5F8FB"/>
          </w:tcPr>
          <w:p>
            <w:pPr>
              <w:spacing w:after="0" w:before="0"/>
            </w:pPr>
            <w:r/>
            <w:r>
              <w:rPr>
                <w:rFonts w:ascii="Aptos" w:hAnsi="Aptos"/>
                <w:b w:val="0"/>
                <w:sz w:val="15"/>
              </w:rPr>
              <w:t>asset_id</w:t>
            </w:r>
          </w:p>
        </w:tc>
        <w:tc>
          <w:tcPr>
            <w:tcW w:type="dxa" w:w="2736"/>
            <w:vAlign w:val="top"/>
            <w:shd w:fill="F5F8FB"/>
          </w:tcPr>
          <w:p>
            <w:pPr>
              <w:spacing w:after="0" w:before="0"/>
            </w:pPr>
            <w:r/>
            <w:r>
              <w:rPr>
                <w:rFonts w:ascii="Aptos" w:hAnsi="Aptos"/>
                <w:b w:val="0"/>
                <w:sz w:val="15"/>
              </w:rPr>
              <w:t>No populated asset register in workbook; future hierarchy</w:t>
            </w:r>
          </w:p>
        </w:tc>
      </w:tr>
      <w:tr>
        <w:trPr>
          <w:cantSplit/>
        </w:trPr>
        <w:tc>
          <w:tcPr>
            <w:tcW w:type="dxa" w:w="2232"/>
            <w:vAlign w:val="top"/>
          </w:tcPr>
          <w:p>
            <w:pPr>
              <w:spacing w:after="0" w:before="0"/>
            </w:pPr>
            <w:r/>
            <w:r>
              <w:rPr>
                <w:rFonts w:ascii="Aptos" w:hAnsi="Aptos"/>
                <w:b w:val="0"/>
                <w:sz w:val="15"/>
              </w:rPr>
              <w:t>ASSET_CRITICALITY_ASSESSMENT</w:t>
            </w:r>
          </w:p>
        </w:tc>
        <w:tc>
          <w:tcPr>
            <w:tcW w:type="dxa" w:w="3672"/>
            <w:vAlign w:val="top"/>
          </w:tcPr>
          <w:p>
            <w:pPr>
              <w:spacing w:after="0" w:before="0"/>
            </w:pPr>
            <w:r/>
            <w:r>
              <w:rPr>
                <w:rFonts w:ascii="Aptos" w:hAnsi="Aptos"/>
                <w:b w:val="0"/>
                <w:sz w:val="15"/>
              </w:rPr>
              <w:t>Versioned criticality assessment for an asset</w:t>
            </w:r>
          </w:p>
        </w:tc>
        <w:tc>
          <w:tcPr>
            <w:tcW w:type="dxa" w:w="2088"/>
            <w:vAlign w:val="top"/>
          </w:tcPr>
          <w:p>
            <w:pPr>
              <w:spacing w:after="0" w:before="0"/>
            </w:pPr>
            <w:r/>
            <w:r>
              <w:rPr>
                <w:rFonts w:ascii="Aptos" w:hAnsi="Aptos"/>
                <w:b w:val="0"/>
                <w:sz w:val="15"/>
              </w:rPr>
              <w:t>assessment_id</w:t>
            </w:r>
          </w:p>
        </w:tc>
        <w:tc>
          <w:tcPr>
            <w:tcW w:type="dxa" w:w="2736"/>
            <w:vAlign w:val="top"/>
          </w:tcPr>
          <w:p>
            <w:pPr>
              <w:spacing w:after="0" w:before="0"/>
            </w:pPr>
            <w:r/>
            <w:r>
              <w:rPr>
                <w:rFonts w:ascii="Aptos" w:hAnsi="Aptos"/>
                <w:b w:val="0"/>
                <w:sz w:val="15"/>
              </w:rPr>
              <w:t>Asset Criticality Framework dependency; not populated in workbook</w:t>
            </w:r>
          </w:p>
        </w:tc>
      </w:tr>
      <w:tr>
        <w:trPr>
          <w:cantSplit/>
        </w:trPr>
        <w:tc>
          <w:tcPr>
            <w:tcW w:type="dxa" w:w="2232"/>
            <w:vAlign w:val="top"/>
            <w:shd w:fill="F5F8FB"/>
          </w:tcPr>
          <w:p>
            <w:pPr>
              <w:spacing w:after="0" w:before="0"/>
            </w:pPr>
            <w:r/>
            <w:r>
              <w:rPr>
                <w:rFonts w:ascii="Aptos" w:hAnsi="Aptos"/>
                <w:b w:val="0"/>
                <w:sz w:val="15"/>
              </w:rPr>
              <w:t>CRITICALITY_FACTOR_SCORE</w:t>
            </w:r>
          </w:p>
        </w:tc>
        <w:tc>
          <w:tcPr>
            <w:tcW w:type="dxa" w:w="3672"/>
            <w:vAlign w:val="top"/>
            <w:shd w:fill="F5F8FB"/>
          </w:tcPr>
          <w:p>
            <w:pPr>
              <w:spacing w:after="0" w:before="0"/>
            </w:pPr>
            <w:r/>
            <w:r>
              <w:rPr>
                <w:rFonts w:ascii="Aptos" w:hAnsi="Aptos"/>
                <w:b w:val="0"/>
                <w:sz w:val="15"/>
              </w:rPr>
              <w:t>One scored factor within an assessment</w:t>
            </w:r>
          </w:p>
        </w:tc>
        <w:tc>
          <w:tcPr>
            <w:tcW w:type="dxa" w:w="2088"/>
            <w:vAlign w:val="top"/>
            <w:shd w:fill="F5F8FB"/>
          </w:tcPr>
          <w:p>
            <w:pPr>
              <w:spacing w:after="0" w:before="0"/>
            </w:pPr>
            <w:r/>
            <w:r>
              <w:rPr>
                <w:rFonts w:ascii="Aptos" w:hAnsi="Aptos"/>
                <w:b w:val="0"/>
                <w:sz w:val="15"/>
              </w:rPr>
              <w:t>factor_score_id</w:t>
            </w:r>
          </w:p>
        </w:tc>
        <w:tc>
          <w:tcPr>
            <w:tcW w:type="dxa" w:w="2736"/>
            <w:vAlign w:val="top"/>
            <w:shd w:fill="F5F8FB"/>
          </w:tcPr>
          <w:p>
            <w:pPr>
              <w:spacing w:after="0" w:before="0"/>
            </w:pPr>
            <w:r/>
            <w:r>
              <w:rPr>
                <w:rFonts w:ascii="Aptos" w:hAnsi="Aptos"/>
                <w:b w:val="0"/>
                <w:sz w:val="15"/>
              </w:rPr>
              <w:t>Factor scales/weights pending Group 1 approval</w:t>
            </w:r>
          </w:p>
        </w:tc>
      </w:tr>
      <w:tr>
        <w:trPr>
          <w:cantSplit/>
        </w:trPr>
        <w:tc>
          <w:tcPr>
            <w:tcW w:type="dxa" w:w="2232"/>
            <w:vAlign w:val="top"/>
          </w:tcPr>
          <w:p>
            <w:pPr>
              <w:spacing w:after="0" w:before="0"/>
            </w:pPr>
            <w:r/>
            <w:r>
              <w:rPr>
                <w:rFonts w:ascii="Aptos" w:hAnsi="Aptos"/>
                <w:b w:val="0"/>
                <w:sz w:val="15"/>
              </w:rPr>
              <w:t>TROUBLESHOOTING_CASE</w:t>
            </w:r>
          </w:p>
        </w:tc>
        <w:tc>
          <w:tcPr>
            <w:tcW w:type="dxa" w:w="3672"/>
            <w:vAlign w:val="top"/>
          </w:tcPr>
          <w:p>
            <w:pPr>
              <w:spacing w:after="0" w:before="0"/>
            </w:pPr>
            <w:r/>
            <w:r>
              <w:rPr>
                <w:rFonts w:ascii="Aptos" w:hAnsi="Aptos"/>
                <w:b w:val="0"/>
                <w:sz w:val="15"/>
              </w:rPr>
              <w:t>One troubleshooting scenario, synthetic or later validated</w:t>
            </w:r>
          </w:p>
        </w:tc>
        <w:tc>
          <w:tcPr>
            <w:tcW w:type="dxa" w:w="2088"/>
            <w:vAlign w:val="top"/>
          </w:tcPr>
          <w:p>
            <w:pPr>
              <w:spacing w:after="0" w:before="0"/>
            </w:pPr>
            <w:r/>
            <w:r>
              <w:rPr>
                <w:rFonts w:ascii="Aptos" w:hAnsi="Aptos"/>
                <w:b w:val="0"/>
                <w:sz w:val="15"/>
              </w:rPr>
              <w:t>case_id</w:t>
            </w:r>
          </w:p>
        </w:tc>
        <w:tc>
          <w:tcPr>
            <w:tcW w:type="dxa" w:w="2736"/>
            <w:vAlign w:val="top"/>
          </w:tcPr>
          <w:p>
            <w:pPr>
              <w:spacing w:after="0" w:before="0"/>
            </w:pPr>
            <w:r/>
            <w:r>
              <w:rPr>
                <w:rFonts w:ascii="Aptos" w:hAnsi="Aptos"/>
                <w:b w:val="0"/>
                <w:sz w:val="15"/>
              </w:rPr>
              <w:t>Import_View; Troubleshooting_Cases</w:t>
            </w:r>
          </w:p>
        </w:tc>
      </w:tr>
      <w:tr>
        <w:trPr>
          <w:cantSplit/>
        </w:trPr>
        <w:tc>
          <w:tcPr>
            <w:tcW w:type="dxa" w:w="2232"/>
            <w:vAlign w:val="top"/>
            <w:shd w:fill="F5F8FB"/>
          </w:tcPr>
          <w:p>
            <w:pPr>
              <w:spacing w:after="0" w:before="0"/>
            </w:pPr>
            <w:r/>
            <w:r>
              <w:rPr>
                <w:rFonts w:ascii="Aptos" w:hAnsi="Aptos"/>
                <w:b w:val="0"/>
                <w:sz w:val="15"/>
              </w:rPr>
              <w:t>CASE_SYMPTOM</w:t>
            </w:r>
          </w:p>
        </w:tc>
        <w:tc>
          <w:tcPr>
            <w:tcW w:type="dxa" w:w="3672"/>
            <w:vAlign w:val="top"/>
            <w:shd w:fill="F5F8FB"/>
          </w:tcPr>
          <w:p>
            <w:pPr>
              <w:spacing w:after="0" w:before="0"/>
            </w:pPr>
            <w:r/>
            <w:r>
              <w:rPr>
                <w:rFonts w:ascii="Aptos" w:hAnsi="Aptos"/>
                <w:b w:val="0"/>
                <w:sz w:val="15"/>
              </w:rPr>
              <w:t>Symptom records associated with a case</w:t>
            </w:r>
          </w:p>
        </w:tc>
        <w:tc>
          <w:tcPr>
            <w:tcW w:type="dxa" w:w="2088"/>
            <w:vAlign w:val="top"/>
            <w:shd w:fill="F5F8FB"/>
          </w:tcPr>
          <w:p>
            <w:pPr>
              <w:spacing w:after="0" w:before="0"/>
            </w:pPr>
            <w:r/>
            <w:r>
              <w:rPr>
                <w:rFonts w:ascii="Aptos" w:hAnsi="Aptos"/>
                <w:b w:val="0"/>
                <w:sz w:val="15"/>
              </w:rPr>
              <w:t>case_symptom_id</w:t>
            </w:r>
          </w:p>
        </w:tc>
        <w:tc>
          <w:tcPr>
            <w:tcW w:type="dxa" w:w="2736"/>
            <w:vAlign w:val="top"/>
            <w:shd w:fill="F5F8FB"/>
          </w:tcPr>
          <w:p>
            <w:pPr>
              <w:spacing w:after="0" w:before="0"/>
            </w:pPr>
            <w:r/>
            <w:r>
              <w:rPr>
                <w:rFonts w:ascii="Aptos" w:hAnsi="Aptos"/>
                <w:b w:val="0"/>
                <w:sz w:val="15"/>
              </w:rPr>
              <w:t>Import_View symptom fields; controlled vocabulary pending</w:t>
            </w:r>
          </w:p>
        </w:tc>
      </w:tr>
      <w:tr>
        <w:trPr>
          <w:cantSplit/>
        </w:trPr>
        <w:tc>
          <w:tcPr>
            <w:tcW w:type="dxa" w:w="2232"/>
            <w:vAlign w:val="top"/>
          </w:tcPr>
          <w:p>
            <w:pPr>
              <w:spacing w:after="0" w:before="0"/>
            </w:pPr>
            <w:r/>
            <w:r>
              <w:rPr>
                <w:rFonts w:ascii="Aptos" w:hAnsi="Aptos"/>
                <w:b w:val="0"/>
                <w:sz w:val="15"/>
              </w:rPr>
              <w:t>DIAGNOSTIC_STEP</w:t>
            </w:r>
          </w:p>
        </w:tc>
        <w:tc>
          <w:tcPr>
            <w:tcW w:type="dxa" w:w="3672"/>
            <w:vAlign w:val="top"/>
          </w:tcPr>
          <w:p>
            <w:pPr>
              <w:spacing w:after="0" w:before="0"/>
            </w:pPr>
            <w:r/>
            <w:r>
              <w:rPr>
                <w:rFonts w:ascii="Aptos" w:hAnsi="Aptos"/>
                <w:b w:val="0"/>
                <w:sz w:val="15"/>
              </w:rPr>
              <w:t>Ordered diagnostic/check step within a case</w:t>
            </w:r>
          </w:p>
        </w:tc>
        <w:tc>
          <w:tcPr>
            <w:tcW w:type="dxa" w:w="2088"/>
            <w:vAlign w:val="top"/>
          </w:tcPr>
          <w:p>
            <w:pPr>
              <w:spacing w:after="0" w:before="0"/>
            </w:pPr>
            <w:r/>
            <w:r>
              <w:rPr>
                <w:rFonts w:ascii="Aptos" w:hAnsi="Aptos"/>
                <w:b w:val="0"/>
                <w:sz w:val="15"/>
              </w:rPr>
              <w:t>diagnostic_step_id</w:t>
            </w:r>
          </w:p>
        </w:tc>
        <w:tc>
          <w:tcPr>
            <w:tcW w:type="dxa" w:w="2736"/>
            <w:vAlign w:val="top"/>
          </w:tcPr>
          <w:p>
            <w:pPr>
              <w:spacing w:after="0" w:before="0"/>
            </w:pPr>
            <w:r/>
            <w:r>
              <w:rPr>
                <w:rFonts w:ascii="Aptos" w:hAnsi="Aptos"/>
                <w:b w:val="0"/>
                <w:sz w:val="15"/>
              </w:rPr>
              <w:t>Diagnostic_Steps</w:t>
            </w:r>
          </w:p>
        </w:tc>
      </w:tr>
      <w:tr>
        <w:trPr>
          <w:cantSplit/>
        </w:trPr>
        <w:tc>
          <w:tcPr>
            <w:tcW w:type="dxa" w:w="2232"/>
            <w:vAlign w:val="top"/>
            <w:shd w:fill="F5F8FB"/>
          </w:tcPr>
          <w:p>
            <w:pPr>
              <w:spacing w:after="0" w:before="0"/>
            </w:pPr>
            <w:r/>
            <w:r>
              <w:rPr>
                <w:rFonts w:ascii="Aptos" w:hAnsi="Aptos"/>
                <w:b w:val="0"/>
                <w:sz w:val="15"/>
              </w:rPr>
              <w:t>FAILURE_MODE_TAXONOMY</w:t>
            </w:r>
          </w:p>
        </w:tc>
        <w:tc>
          <w:tcPr>
            <w:tcW w:type="dxa" w:w="3672"/>
            <w:vAlign w:val="top"/>
            <w:shd w:fill="F5F8FB"/>
          </w:tcPr>
          <w:p>
            <w:pPr>
              <w:spacing w:after="0" w:before="0"/>
            </w:pPr>
            <w:r/>
            <w:r>
              <w:rPr>
                <w:rFonts w:ascii="Aptos" w:hAnsi="Aptos"/>
                <w:b w:val="0"/>
                <w:sz w:val="15"/>
              </w:rPr>
              <w:t>Domain taxonomy for equipment/component failure modes</w:t>
            </w:r>
          </w:p>
        </w:tc>
        <w:tc>
          <w:tcPr>
            <w:tcW w:type="dxa" w:w="2088"/>
            <w:vAlign w:val="top"/>
            <w:shd w:fill="F5F8FB"/>
          </w:tcPr>
          <w:p>
            <w:pPr>
              <w:spacing w:after="0" w:before="0"/>
            </w:pPr>
            <w:r/>
            <w:r>
              <w:rPr>
                <w:rFonts w:ascii="Aptos" w:hAnsi="Aptos"/>
                <w:b w:val="0"/>
                <w:sz w:val="15"/>
              </w:rPr>
              <w:t>taxonomy_code</w:t>
            </w:r>
          </w:p>
        </w:tc>
        <w:tc>
          <w:tcPr>
            <w:tcW w:type="dxa" w:w="2736"/>
            <w:vAlign w:val="top"/>
            <w:shd w:fill="F5F8FB"/>
          </w:tcPr>
          <w:p>
            <w:pPr>
              <w:spacing w:after="0" w:before="0"/>
            </w:pPr>
            <w:r/>
            <w:r>
              <w:rPr>
                <w:rFonts w:ascii="Aptos" w:hAnsi="Aptos"/>
                <w:b w:val="0"/>
                <w:sz w:val="15"/>
              </w:rPr>
              <w:t>Failure_Mode_Taxonomy; Taxonomy_Proposed</w:t>
            </w:r>
          </w:p>
        </w:tc>
      </w:tr>
      <w:tr>
        <w:trPr>
          <w:cantSplit/>
        </w:trPr>
        <w:tc>
          <w:tcPr>
            <w:tcW w:type="dxa" w:w="2232"/>
            <w:vAlign w:val="top"/>
          </w:tcPr>
          <w:p>
            <w:pPr>
              <w:spacing w:after="0" w:before="0"/>
            </w:pPr>
            <w:r/>
            <w:r>
              <w:rPr>
                <w:rFonts w:ascii="Aptos" w:hAnsi="Aptos"/>
                <w:b w:val="0"/>
                <w:sz w:val="15"/>
              </w:rPr>
              <w:t>FAILURE_MODE_VOCABULARY</w:t>
            </w:r>
          </w:p>
        </w:tc>
        <w:tc>
          <w:tcPr>
            <w:tcW w:type="dxa" w:w="3672"/>
            <w:vAlign w:val="top"/>
          </w:tcPr>
          <w:p>
            <w:pPr>
              <w:spacing w:after="0" w:before="0"/>
            </w:pPr>
            <w:r/>
            <w:r>
              <w:rPr>
                <w:rFonts w:ascii="Aptos" w:hAnsi="Aptos"/>
                <w:b w:val="0"/>
                <w:sz w:val="15"/>
              </w:rPr>
              <w:t>Controlled project vocabulary of failure-mode labels</w:t>
            </w:r>
          </w:p>
        </w:tc>
        <w:tc>
          <w:tcPr>
            <w:tcW w:type="dxa" w:w="2088"/>
            <w:vAlign w:val="top"/>
          </w:tcPr>
          <w:p>
            <w:pPr>
              <w:spacing w:after="0" w:before="0"/>
            </w:pPr>
            <w:r/>
            <w:r>
              <w:rPr>
                <w:rFonts w:ascii="Aptos" w:hAnsi="Aptos"/>
                <w:b w:val="0"/>
                <w:sz w:val="15"/>
              </w:rPr>
              <w:t>failure_mode_id</w:t>
            </w:r>
          </w:p>
        </w:tc>
        <w:tc>
          <w:tcPr>
            <w:tcW w:type="dxa" w:w="2736"/>
            <w:vAlign w:val="top"/>
          </w:tcPr>
          <w:p>
            <w:pPr>
              <w:spacing w:after="0" w:before="0"/>
            </w:pPr>
            <w:r/>
            <w:r>
              <w:rPr>
                <w:rFonts w:ascii="Aptos" w:hAnsi="Aptos"/>
                <w:b w:val="0"/>
                <w:sz w:val="15"/>
              </w:rPr>
              <w:t>Taxonomy_FM_Vocabulary</w:t>
            </w:r>
          </w:p>
        </w:tc>
      </w:tr>
      <w:tr>
        <w:trPr>
          <w:cantSplit/>
        </w:trPr>
        <w:tc>
          <w:tcPr>
            <w:tcW w:type="dxa" w:w="2232"/>
            <w:vAlign w:val="top"/>
            <w:shd w:fill="F5F8FB"/>
          </w:tcPr>
          <w:p>
            <w:pPr>
              <w:spacing w:after="0" w:before="0"/>
            </w:pPr>
            <w:r/>
            <w:r>
              <w:rPr>
                <w:rFonts w:ascii="Aptos" w:hAnsi="Aptos"/>
                <w:b w:val="0"/>
                <w:sz w:val="15"/>
              </w:rPr>
              <w:t>CASE_FAILURE_MAPPING</w:t>
            </w:r>
          </w:p>
        </w:tc>
        <w:tc>
          <w:tcPr>
            <w:tcW w:type="dxa" w:w="3672"/>
            <w:vAlign w:val="top"/>
            <w:shd w:fill="F5F8FB"/>
          </w:tcPr>
          <w:p>
            <w:pPr>
              <w:spacing w:after="0" w:before="0"/>
            </w:pPr>
            <w:r/>
            <w:r>
              <w:rPr>
                <w:rFonts w:ascii="Aptos" w:hAnsi="Aptos"/>
                <w:b w:val="0"/>
                <w:sz w:val="15"/>
              </w:rPr>
              <w:t>Reviewable link from a case to taxonomy/vocabulary concepts</w:t>
            </w:r>
          </w:p>
        </w:tc>
        <w:tc>
          <w:tcPr>
            <w:tcW w:type="dxa" w:w="2088"/>
            <w:vAlign w:val="top"/>
            <w:shd w:fill="F5F8FB"/>
          </w:tcPr>
          <w:p>
            <w:pPr>
              <w:spacing w:after="0" w:before="0"/>
            </w:pPr>
            <w:r/>
            <w:r>
              <w:rPr>
                <w:rFonts w:ascii="Aptos" w:hAnsi="Aptos"/>
                <w:b w:val="0"/>
                <w:sz w:val="15"/>
              </w:rPr>
              <w:t>mapping_id</w:t>
            </w:r>
          </w:p>
        </w:tc>
        <w:tc>
          <w:tcPr>
            <w:tcW w:type="dxa" w:w="2736"/>
            <w:vAlign w:val="top"/>
            <w:shd w:fill="F5F8FB"/>
          </w:tcPr>
          <w:p>
            <w:pPr>
              <w:spacing w:after="0" w:before="0"/>
            </w:pPr>
            <w:r/>
            <w:r>
              <w:rPr>
                <w:rFonts w:ascii="Aptos" w:hAnsi="Aptos"/>
                <w:b w:val="0"/>
                <w:sz w:val="15"/>
              </w:rPr>
              <w:t>Mapping_Validation; Import_View</w:t>
            </w:r>
          </w:p>
        </w:tc>
      </w:tr>
      <w:tr>
        <w:trPr>
          <w:cantSplit/>
        </w:trPr>
        <w:tc>
          <w:tcPr>
            <w:tcW w:type="dxa" w:w="2232"/>
            <w:vAlign w:val="top"/>
          </w:tcPr>
          <w:p>
            <w:pPr>
              <w:spacing w:after="0" w:before="0"/>
            </w:pPr>
            <w:r/>
            <w:r>
              <w:rPr>
                <w:rFonts w:ascii="Aptos" w:hAnsi="Aptos"/>
                <w:b w:val="0"/>
                <w:sz w:val="15"/>
              </w:rPr>
              <w:t>FMEA_ASSESSMENT</w:t>
            </w:r>
          </w:p>
        </w:tc>
        <w:tc>
          <w:tcPr>
            <w:tcW w:type="dxa" w:w="3672"/>
            <w:vAlign w:val="top"/>
          </w:tcPr>
          <w:p>
            <w:pPr>
              <w:spacing w:after="0" w:before="0"/>
            </w:pPr>
            <w:r/>
            <w:r>
              <w:rPr>
                <w:rFonts w:ascii="Aptos" w:hAnsi="Aptos"/>
                <w:b w:val="0"/>
                <w:sz w:val="15"/>
              </w:rPr>
              <w:t>FMEA assessment for a failure mode in a class/asset/component context</w:t>
            </w:r>
          </w:p>
        </w:tc>
        <w:tc>
          <w:tcPr>
            <w:tcW w:type="dxa" w:w="2088"/>
            <w:vAlign w:val="top"/>
          </w:tcPr>
          <w:p>
            <w:pPr>
              <w:spacing w:after="0" w:before="0"/>
            </w:pPr>
            <w:r/>
            <w:r>
              <w:rPr>
                <w:rFonts w:ascii="Aptos" w:hAnsi="Aptos"/>
                <w:b w:val="0"/>
                <w:sz w:val="15"/>
              </w:rPr>
              <w:t>fmea_id</w:t>
            </w:r>
          </w:p>
        </w:tc>
        <w:tc>
          <w:tcPr>
            <w:tcW w:type="dxa" w:w="2736"/>
            <w:vAlign w:val="top"/>
          </w:tcPr>
          <w:p>
            <w:pPr>
              <w:spacing w:after="0" w:before="0"/>
            </w:pPr>
            <w:r/>
            <w:r>
              <w:rPr>
                <w:rFonts w:ascii="Aptos" w:hAnsi="Aptos"/>
                <w:b w:val="0"/>
                <w:sz w:val="15"/>
              </w:rPr>
              <w:t>FMEA framework; not a populated case-level table in workbook</w:t>
            </w:r>
          </w:p>
        </w:tc>
      </w:tr>
      <w:tr>
        <w:trPr>
          <w:cantSplit/>
        </w:trPr>
        <w:tc>
          <w:tcPr>
            <w:tcW w:type="dxa" w:w="2232"/>
            <w:vAlign w:val="top"/>
            <w:shd w:fill="F5F8FB"/>
          </w:tcPr>
          <w:p>
            <w:pPr>
              <w:spacing w:after="0" w:before="0"/>
            </w:pPr>
            <w:r/>
            <w:r>
              <w:rPr>
                <w:rFonts w:ascii="Aptos" w:hAnsi="Aptos"/>
                <w:b w:val="0"/>
                <w:sz w:val="15"/>
              </w:rPr>
              <w:t>SOURCE_REFERENCE</w:t>
            </w:r>
          </w:p>
        </w:tc>
        <w:tc>
          <w:tcPr>
            <w:tcW w:type="dxa" w:w="3672"/>
            <w:vAlign w:val="top"/>
            <w:shd w:fill="F5F8FB"/>
          </w:tcPr>
          <w:p>
            <w:pPr>
              <w:spacing w:after="0" w:before="0"/>
            </w:pPr>
            <w:r/>
            <w:r>
              <w:rPr>
                <w:rFonts w:ascii="Aptos" w:hAnsi="Aptos"/>
                <w:b w:val="0"/>
                <w:sz w:val="15"/>
              </w:rPr>
              <w:t>A source, manual, standard or supporting document</w:t>
            </w:r>
          </w:p>
        </w:tc>
        <w:tc>
          <w:tcPr>
            <w:tcW w:type="dxa" w:w="2088"/>
            <w:vAlign w:val="top"/>
            <w:shd w:fill="F5F8FB"/>
          </w:tcPr>
          <w:p>
            <w:pPr>
              <w:spacing w:after="0" w:before="0"/>
            </w:pPr>
            <w:r/>
            <w:r>
              <w:rPr>
                <w:rFonts w:ascii="Aptos" w:hAnsi="Aptos"/>
                <w:b w:val="0"/>
                <w:sz w:val="15"/>
              </w:rPr>
              <w:t>source_id</w:t>
            </w:r>
          </w:p>
        </w:tc>
        <w:tc>
          <w:tcPr>
            <w:tcW w:type="dxa" w:w="2736"/>
            <w:vAlign w:val="top"/>
            <w:shd w:fill="F5F8FB"/>
          </w:tcPr>
          <w:p>
            <w:pPr>
              <w:spacing w:after="0" w:before="0"/>
            </w:pPr>
            <w:r/>
            <w:r>
              <w:rPr>
                <w:rFonts w:ascii="Aptos" w:hAnsi="Aptos"/>
                <w:b w:val="0"/>
                <w:sz w:val="15"/>
              </w:rPr>
              <w:t>Sources</w:t>
            </w:r>
          </w:p>
        </w:tc>
      </w:tr>
      <w:tr>
        <w:trPr>
          <w:cantSplit/>
        </w:trPr>
        <w:tc>
          <w:tcPr>
            <w:tcW w:type="dxa" w:w="2232"/>
            <w:vAlign w:val="top"/>
          </w:tcPr>
          <w:p>
            <w:pPr>
              <w:spacing w:after="0" w:before="0"/>
            </w:pPr>
            <w:r/>
            <w:r>
              <w:rPr>
                <w:rFonts w:ascii="Aptos" w:hAnsi="Aptos"/>
                <w:b w:val="0"/>
                <w:sz w:val="15"/>
              </w:rPr>
              <w:t>CASE_SOURCE</w:t>
            </w:r>
          </w:p>
        </w:tc>
        <w:tc>
          <w:tcPr>
            <w:tcW w:type="dxa" w:w="3672"/>
            <w:vAlign w:val="top"/>
          </w:tcPr>
          <w:p>
            <w:pPr>
              <w:spacing w:after="0" w:before="0"/>
            </w:pPr>
            <w:r/>
            <w:r>
              <w:rPr>
                <w:rFonts w:ascii="Aptos" w:hAnsi="Aptos"/>
                <w:b w:val="0"/>
                <w:sz w:val="15"/>
              </w:rPr>
              <w:t>Many-to-many link between cases and sources</w:t>
            </w:r>
          </w:p>
        </w:tc>
        <w:tc>
          <w:tcPr>
            <w:tcW w:type="dxa" w:w="2088"/>
            <w:vAlign w:val="top"/>
          </w:tcPr>
          <w:p>
            <w:pPr>
              <w:spacing w:after="0" w:before="0"/>
            </w:pPr>
            <w:r/>
            <w:r>
              <w:rPr>
                <w:rFonts w:ascii="Aptos" w:hAnsi="Aptos"/>
                <w:b w:val="0"/>
                <w:sz w:val="15"/>
              </w:rPr>
              <w:t>case_id + source_id</w:t>
            </w:r>
          </w:p>
        </w:tc>
        <w:tc>
          <w:tcPr>
            <w:tcW w:type="dxa" w:w="2736"/>
            <w:vAlign w:val="top"/>
          </w:tcPr>
          <w:p>
            <w:pPr>
              <w:spacing w:after="0" w:before="0"/>
            </w:pPr>
            <w:r/>
            <w:r>
              <w:rPr>
                <w:rFonts w:ascii="Aptos" w:hAnsi="Aptos"/>
                <w:b w:val="0"/>
                <w:sz w:val="15"/>
              </w:rPr>
              <w:t>Source IDs in Import_View; Sources</w:t>
            </w:r>
          </w:p>
        </w:tc>
      </w:tr>
      <w:tr>
        <w:trPr>
          <w:cantSplit/>
        </w:trPr>
        <w:tc>
          <w:tcPr>
            <w:tcW w:type="dxa" w:w="2232"/>
            <w:vAlign w:val="top"/>
            <w:shd w:fill="F5F8FB"/>
          </w:tcPr>
          <w:p>
            <w:pPr>
              <w:spacing w:after="0" w:before="0"/>
            </w:pPr>
            <w:r/>
            <w:r>
              <w:rPr>
                <w:rFonts w:ascii="Aptos" w:hAnsi="Aptos"/>
                <w:b w:val="0"/>
                <w:sz w:val="15"/>
              </w:rPr>
              <w:t>CASE_VERIFICATION</w:t>
            </w:r>
          </w:p>
        </w:tc>
        <w:tc>
          <w:tcPr>
            <w:tcW w:type="dxa" w:w="3672"/>
            <w:vAlign w:val="top"/>
            <w:shd w:fill="F5F8FB"/>
          </w:tcPr>
          <w:p>
            <w:pPr>
              <w:spacing w:after="0" w:before="0"/>
            </w:pPr>
            <w:r/>
            <w:r>
              <w:rPr>
                <w:rFonts w:ascii="Aptos" w:hAnsi="Aptos"/>
                <w:b w:val="0"/>
                <w:sz w:val="15"/>
              </w:rPr>
              <w:t>A dated review event for a case</w:t>
            </w:r>
          </w:p>
        </w:tc>
        <w:tc>
          <w:tcPr>
            <w:tcW w:type="dxa" w:w="2088"/>
            <w:vAlign w:val="top"/>
            <w:shd w:fill="F5F8FB"/>
          </w:tcPr>
          <w:p>
            <w:pPr>
              <w:spacing w:after="0" w:before="0"/>
            </w:pPr>
            <w:r/>
            <w:r>
              <w:rPr>
                <w:rFonts w:ascii="Aptos" w:hAnsi="Aptos"/>
                <w:b w:val="0"/>
                <w:sz w:val="15"/>
              </w:rPr>
              <w:t>verification_id</w:t>
            </w:r>
          </w:p>
        </w:tc>
        <w:tc>
          <w:tcPr>
            <w:tcW w:type="dxa" w:w="2736"/>
            <w:vAlign w:val="top"/>
            <w:shd w:fill="F5F8FB"/>
          </w:tcPr>
          <w:p>
            <w:pPr>
              <w:spacing w:after="0" w:before="0"/>
            </w:pPr>
            <w:r/>
            <w:r>
              <w:rPr>
                <w:rFonts w:ascii="Aptos" w:hAnsi="Aptos"/>
                <w:b w:val="0"/>
                <w:sz w:val="15"/>
              </w:rPr>
              <w:t>Verification_Records; allow history rather than overwrite</w:t>
            </w:r>
          </w:p>
        </w:tc>
      </w:tr>
      <w:tr>
        <w:trPr>
          <w:cantSplit/>
        </w:trPr>
        <w:tc>
          <w:tcPr>
            <w:tcW w:type="dxa" w:w="2232"/>
            <w:vAlign w:val="top"/>
          </w:tcPr>
          <w:p>
            <w:pPr>
              <w:spacing w:after="0" w:before="0"/>
            </w:pPr>
            <w:r/>
            <w:r>
              <w:rPr>
                <w:rFonts w:ascii="Aptos" w:hAnsi="Aptos"/>
                <w:b w:val="0"/>
                <w:sz w:val="15"/>
              </w:rPr>
              <w:t>MEASUREMENT_REFERENCE</w:t>
            </w:r>
          </w:p>
        </w:tc>
        <w:tc>
          <w:tcPr>
            <w:tcW w:type="dxa" w:w="3672"/>
            <w:vAlign w:val="top"/>
          </w:tcPr>
          <w:p>
            <w:pPr>
              <w:spacing w:after="0" w:before="0"/>
            </w:pPr>
            <w:r/>
            <w:r>
              <w:rPr>
                <w:rFonts w:ascii="Aptos" w:hAnsi="Aptos"/>
                <w:b w:val="0"/>
                <w:sz w:val="15"/>
              </w:rPr>
              <w:t>Parameter, unit, instrument and applicability guidance</w:t>
            </w:r>
          </w:p>
        </w:tc>
        <w:tc>
          <w:tcPr>
            <w:tcW w:type="dxa" w:w="2088"/>
            <w:vAlign w:val="top"/>
          </w:tcPr>
          <w:p>
            <w:pPr>
              <w:spacing w:after="0" w:before="0"/>
            </w:pPr>
            <w:r/>
            <w:r>
              <w:rPr>
                <w:rFonts w:ascii="Aptos" w:hAnsi="Aptos"/>
                <w:b w:val="0"/>
                <w:sz w:val="15"/>
              </w:rPr>
              <w:t>measurement_reference_id</w:t>
            </w:r>
          </w:p>
        </w:tc>
        <w:tc>
          <w:tcPr>
            <w:tcW w:type="dxa" w:w="2736"/>
            <w:vAlign w:val="top"/>
          </w:tcPr>
          <w:p>
            <w:pPr>
              <w:spacing w:after="0" w:before="0"/>
            </w:pPr>
            <w:r/>
            <w:r>
              <w:rPr>
                <w:rFonts w:ascii="Aptos" w:hAnsi="Aptos"/>
                <w:b w:val="0"/>
                <w:sz w:val="15"/>
              </w:rPr>
              <w:t>Measurement_Reference</w:t>
            </w:r>
          </w:p>
        </w:tc>
      </w:tr>
      <w:tr>
        <w:trPr>
          <w:cantSplit/>
        </w:trPr>
        <w:tc>
          <w:tcPr>
            <w:tcW w:type="dxa" w:w="2232"/>
            <w:vAlign w:val="top"/>
            <w:shd w:fill="F5F8FB"/>
          </w:tcPr>
          <w:p>
            <w:pPr>
              <w:spacing w:after="0" w:before="0"/>
            </w:pPr>
            <w:r/>
            <w:r>
              <w:rPr>
                <w:rFonts w:ascii="Aptos" w:hAnsi="Aptos"/>
                <w:b w:val="0"/>
                <w:sz w:val="15"/>
              </w:rPr>
              <w:t>SPARE_PART_REFERENCE</w:t>
            </w:r>
          </w:p>
        </w:tc>
        <w:tc>
          <w:tcPr>
            <w:tcW w:type="dxa" w:w="3672"/>
            <w:vAlign w:val="top"/>
            <w:shd w:fill="F5F8FB"/>
          </w:tcPr>
          <w:p>
            <w:pPr>
              <w:spacing w:after="0" w:before="0"/>
            </w:pPr>
            <w:r/>
            <w:r>
              <w:rPr>
                <w:rFonts w:ascii="Aptos" w:hAnsi="Aptos"/>
                <w:b w:val="0"/>
                <w:sz w:val="15"/>
              </w:rPr>
              <w:t>Reference information for spare parts</w:t>
            </w:r>
          </w:p>
        </w:tc>
        <w:tc>
          <w:tcPr>
            <w:tcW w:type="dxa" w:w="2088"/>
            <w:vAlign w:val="top"/>
            <w:shd w:fill="F5F8FB"/>
          </w:tcPr>
          <w:p>
            <w:pPr>
              <w:spacing w:after="0" w:before="0"/>
            </w:pPr>
            <w:r/>
            <w:r>
              <w:rPr>
                <w:rFonts w:ascii="Aptos" w:hAnsi="Aptos"/>
                <w:b w:val="0"/>
                <w:sz w:val="15"/>
              </w:rPr>
              <w:t>spare_part_id</w:t>
            </w:r>
          </w:p>
        </w:tc>
        <w:tc>
          <w:tcPr>
            <w:tcW w:type="dxa" w:w="2736"/>
            <w:vAlign w:val="top"/>
            <w:shd w:fill="F5F8FB"/>
          </w:tcPr>
          <w:p>
            <w:pPr>
              <w:spacing w:after="0" w:before="0"/>
            </w:pPr>
            <w:r/>
            <w:r>
              <w:rPr>
                <w:rFonts w:ascii="Aptos" w:hAnsi="Aptos"/>
                <w:b w:val="0"/>
                <w:sz w:val="15"/>
              </w:rPr>
              <w:t>Spare_Parts_Reference</w:t>
            </w:r>
          </w:p>
        </w:tc>
      </w:tr>
      <w:tr>
        <w:trPr>
          <w:cantSplit/>
        </w:trPr>
        <w:tc>
          <w:tcPr>
            <w:tcW w:type="dxa" w:w="2232"/>
            <w:vAlign w:val="top"/>
          </w:tcPr>
          <w:p>
            <w:pPr>
              <w:spacing w:after="0" w:before="0"/>
            </w:pPr>
            <w:r/>
            <w:r>
              <w:rPr>
                <w:rFonts w:ascii="Aptos" w:hAnsi="Aptos"/>
                <w:b w:val="0"/>
                <w:sz w:val="15"/>
              </w:rPr>
              <w:t>CASE_SPARE_PART</w:t>
            </w:r>
          </w:p>
        </w:tc>
        <w:tc>
          <w:tcPr>
            <w:tcW w:type="dxa" w:w="3672"/>
            <w:vAlign w:val="top"/>
          </w:tcPr>
          <w:p>
            <w:pPr>
              <w:spacing w:after="0" w:before="0"/>
            </w:pPr>
            <w:r/>
            <w:r>
              <w:rPr>
                <w:rFonts w:ascii="Aptos" w:hAnsi="Aptos"/>
                <w:b w:val="0"/>
                <w:sz w:val="15"/>
              </w:rPr>
              <w:t>Many-to-many link between cases and spare parts</w:t>
            </w:r>
          </w:p>
        </w:tc>
        <w:tc>
          <w:tcPr>
            <w:tcW w:type="dxa" w:w="2088"/>
            <w:vAlign w:val="top"/>
          </w:tcPr>
          <w:p>
            <w:pPr>
              <w:spacing w:after="0" w:before="0"/>
            </w:pPr>
            <w:r/>
            <w:r>
              <w:rPr>
                <w:rFonts w:ascii="Aptos" w:hAnsi="Aptos"/>
                <w:b w:val="0"/>
                <w:sz w:val="15"/>
              </w:rPr>
              <w:t>case_id + spare_part_id</w:t>
            </w:r>
          </w:p>
        </w:tc>
        <w:tc>
          <w:tcPr>
            <w:tcW w:type="dxa" w:w="2736"/>
            <w:vAlign w:val="top"/>
          </w:tcPr>
          <w:p>
            <w:pPr>
              <w:spacing w:after="0" w:before="0"/>
            </w:pPr>
            <w:r/>
            <w:r>
              <w:rPr>
                <w:rFonts w:ascii="Aptos" w:hAnsi="Aptos"/>
                <w:b w:val="0"/>
                <w:sz w:val="15"/>
              </w:rPr>
              <w:t>Spare_Parts_Reference; Import_View</w:t>
            </w:r>
          </w:p>
        </w:tc>
      </w:tr>
      <w:tr>
        <w:trPr>
          <w:cantSplit/>
        </w:trPr>
        <w:tc>
          <w:tcPr>
            <w:tcW w:type="dxa" w:w="2232"/>
            <w:vAlign w:val="top"/>
            <w:shd w:fill="F5F8FB"/>
          </w:tcPr>
          <w:p>
            <w:pPr>
              <w:spacing w:after="0" w:before="0"/>
            </w:pPr>
            <w:r/>
            <w:r>
              <w:rPr>
                <w:rFonts w:ascii="Aptos" w:hAnsi="Aptos"/>
                <w:b w:val="0"/>
                <w:sz w:val="15"/>
              </w:rPr>
              <w:t>SAFETY_PROCEDURE</w:t>
            </w:r>
          </w:p>
        </w:tc>
        <w:tc>
          <w:tcPr>
            <w:tcW w:type="dxa" w:w="3672"/>
            <w:vAlign w:val="top"/>
            <w:shd w:fill="F5F8FB"/>
          </w:tcPr>
          <w:p>
            <w:pPr>
              <w:spacing w:after="0" w:before="0"/>
            </w:pPr>
            <w:r/>
            <w:r>
              <w:rPr>
                <w:rFonts w:ascii="Aptos" w:hAnsi="Aptos"/>
                <w:b w:val="0"/>
                <w:sz w:val="15"/>
              </w:rPr>
              <w:t>Reusable safety requirement/procedure</w:t>
            </w:r>
          </w:p>
        </w:tc>
        <w:tc>
          <w:tcPr>
            <w:tcW w:type="dxa" w:w="2088"/>
            <w:vAlign w:val="top"/>
            <w:shd w:fill="F5F8FB"/>
          </w:tcPr>
          <w:p>
            <w:pPr>
              <w:spacing w:after="0" w:before="0"/>
            </w:pPr>
            <w:r/>
            <w:r>
              <w:rPr>
                <w:rFonts w:ascii="Aptos" w:hAnsi="Aptos"/>
                <w:b w:val="0"/>
                <w:sz w:val="15"/>
              </w:rPr>
              <w:t>safety_procedure_id</w:t>
            </w:r>
          </w:p>
        </w:tc>
        <w:tc>
          <w:tcPr>
            <w:tcW w:type="dxa" w:w="2736"/>
            <w:vAlign w:val="top"/>
            <w:shd w:fill="F5F8FB"/>
          </w:tcPr>
          <w:p>
            <w:pPr>
              <w:spacing w:after="0" w:before="0"/>
            </w:pPr>
            <w:r/>
            <w:r>
              <w:rPr>
                <w:rFonts w:ascii="Aptos" w:hAnsi="Aptos"/>
                <w:b w:val="0"/>
                <w:sz w:val="15"/>
              </w:rPr>
              <w:t>Safety_Procedures</w:t>
            </w:r>
          </w:p>
        </w:tc>
      </w:tr>
      <w:tr>
        <w:trPr>
          <w:cantSplit/>
        </w:trPr>
        <w:tc>
          <w:tcPr>
            <w:tcW w:type="dxa" w:w="2232"/>
            <w:vAlign w:val="top"/>
          </w:tcPr>
          <w:p>
            <w:pPr>
              <w:spacing w:after="0" w:before="0"/>
            </w:pPr>
            <w:r/>
            <w:r>
              <w:rPr>
                <w:rFonts w:ascii="Aptos" w:hAnsi="Aptos"/>
                <w:b w:val="0"/>
                <w:sz w:val="15"/>
              </w:rPr>
              <w:t>CASE_SAFETY_PROCEDURE</w:t>
            </w:r>
          </w:p>
        </w:tc>
        <w:tc>
          <w:tcPr>
            <w:tcW w:type="dxa" w:w="3672"/>
            <w:vAlign w:val="top"/>
          </w:tcPr>
          <w:p>
            <w:pPr>
              <w:spacing w:after="0" w:before="0"/>
            </w:pPr>
            <w:r/>
            <w:r>
              <w:rPr>
                <w:rFonts w:ascii="Aptos" w:hAnsi="Aptos"/>
                <w:b w:val="0"/>
                <w:sz w:val="15"/>
              </w:rPr>
              <w:t>Many-to-many link between cases and safety procedures</w:t>
            </w:r>
          </w:p>
        </w:tc>
        <w:tc>
          <w:tcPr>
            <w:tcW w:type="dxa" w:w="2088"/>
            <w:vAlign w:val="top"/>
          </w:tcPr>
          <w:p>
            <w:pPr>
              <w:spacing w:after="0" w:before="0"/>
            </w:pPr>
            <w:r/>
            <w:r>
              <w:rPr>
                <w:rFonts w:ascii="Aptos" w:hAnsi="Aptos"/>
                <w:b w:val="0"/>
                <w:sz w:val="15"/>
              </w:rPr>
              <w:t>case_id + safety_procedure_id</w:t>
            </w:r>
          </w:p>
        </w:tc>
        <w:tc>
          <w:tcPr>
            <w:tcW w:type="dxa" w:w="2736"/>
            <w:vAlign w:val="top"/>
          </w:tcPr>
          <w:p>
            <w:pPr>
              <w:spacing w:after="0" w:before="0"/>
            </w:pPr>
            <w:r/>
            <w:r>
              <w:rPr>
                <w:rFonts w:ascii="Aptos" w:hAnsi="Aptos"/>
                <w:b w:val="0"/>
                <w:sz w:val="15"/>
              </w:rPr>
              <w:t>Safety_Procedures; Import_View</w:t>
            </w:r>
          </w:p>
        </w:tc>
      </w:tr>
    </w:tbl>
    <w:p>
      <w:pPr>
        <w:spacing w:after="0"/>
      </w:pPr>
    </w:p>
    <w:p>
      <w:pPr>
        <w:pStyle w:val="Heading1"/>
        <w:keepNext/>
      </w:pPr>
      <w:r>
        <w:t>5. Relationship and cardinality rules</w:t>
      </w:r>
    </w:p>
    <w:p>
      <w:r>
        <w:t>Cardinality describes how many records may participate in a relationship. “1 : 0..many” means one parent may have zero or many children; each child points back to one parent through its foreign key unless explicitly marked optional.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92"/>
            <w:shd w:fill="17365D"/>
            <w:vAlign w:val="top"/>
          </w:tcPr>
          <w:p>
            <w:pPr>
              <w:spacing w:after="0" w:before="0"/>
            </w:pPr>
            <w:r/>
            <w:r>
              <w:rPr>
                <w:rFonts w:ascii="Aptos" w:hAnsi="Aptos"/>
                <w:b/>
                <w:color w:val="FFFFFF"/>
                <w:sz w:val="14"/>
              </w:rPr>
              <w:t>Relationship</w:t>
            </w:r>
          </w:p>
        </w:tc>
        <w:tc>
          <w:tcPr>
            <w:tcW w:type="dxa" w:w="1728"/>
            <w:shd w:fill="17365D"/>
            <w:vAlign w:val="top"/>
          </w:tcPr>
          <w:p>
            <w:pPr>
              <w:spacing w:after="0" w:before="0"/>
            </w:pPr>
            <w:r/>
            <w:r>
              <w:rPr>
                <w:rFonts w:ascii="Aptos" w:hAnsi="Aptos"/>
                <w:b/>
                <w:color w:val="FFFFFF"/>
                <w:sz w:val="14"/>
              </w:rPr>
              <w:t>Cardinality</w:t>
            </w:r>
          </w:p>
        </w:tc>
        <w:tc>
          <w:tcPr>
            <w:tcW w:type="dxa" w:w="3024"/>
            <w:shd w:fill="17365D"/>
            <w:vAlign w:val="top"/>
          </w:tcPr>
          <w:p>
            <w:pPr>
              <w:spacing w:after="0" w:before="0"/>
            </w:pPr>
            <w:r/>
            <w:r>
              <w:rPr>
                <w:rFonts w:ascii="Aptos" w:hAnsi="Aptos"/>
                <w:b/>
                <w:color w:val="FFFFFF"/>
                <w:sz w:val="14"/>
              </w:rPr>
              <w:t>FK / join</w:t>
            </w:r>
          </w:p>
        </w:tc>
        <w:tc>
          <w:tcPr>
            <w:tcW w:type="dxa" w:w="3744"/>
            <w:shd w:fill="17365D"/>
            <w:vAlign w:val="top"/>
          </w:tcPr>
          <w:p>
            <w:pPr>
              <w:spacing w:after="0" w:before="0"/>
            </w:pPr>
            <w:r/>
            <w:r>
              <w:rPr>
                <w:rFonts w:ascii="Aptos" w:hAnsi="Aptos"/>
                <w:b/>
                <w:color w:val="FFFFFF"/>
                <w:sz w:val="14"/>
              </w:rPr>
              <w:t>Rule</w:t>
            </w:r>
          </w:p>
        </w:tc>
      </w:tr>
      <w:tr>
        <w:trPr>
          <w:cantSplit/>
        </w:trPr>
        <w:tc>
          <w:tcPr>
            <w:tcW w:type="dxa" w:w="2592"/>
            <w:vAlign w:val="top"/>
          </w:tcPr>
          <w:p>
            <w:pPr>
              <w:spacing w:after="0" w:before="0"/>
            </w:pPr>
            <w:r/>
            <w:r>
              <w:rPr>
                <w:rFonts w:ascii="Aptos" w:hAnsi="Aptos"/>
                <w:b w:val="0"/>
                <w:sz w:val="14"/>
              </w:rPr>
              <w:t>EQUIPMENT_CLASS → ASSET_NODE</w:t>
            </w:r>
          </w:p>
        </w:tc>
        <w:tc>
          <w:tcPr>
            <w:tcW w:type="dxa" w:w="1728"/>
            <w:vAlign w:val="top"/>
          </w:tcPr>
          <w:p>
            <w:pPr>
              <w:spacing w:after="0" w:before="0"/>
            </w:pPr>
            <w:r/>
            <w:r>
              <w:rPr>
                <w:rFonts w:ascii="Aptos" w:hAnsi="Aptos"/>
                <w:b w:val="0"/>
                <w:sz w:val="14"/>
              </w:rPr>
              <w:t>1 : 0..many</w:t>
            </w:r>
          </w:p>
        </w:tc>
        <w:tc>
          <w:tcPr>
            <w:tcW w:type="dxa" w:w="3024"/>
            <w:vAlign w:val="top"/>
          </w:tcPr>
          <w:p>
            <w:pPr>
              <w:spacing w:after="0" w:before="0"/>
            </w:pPr>
            <w:r/>
            <w:r>
              <w:rPr>
                <w:rFonts w:ascii="Aptos" w:hAnsi="Aptos"/>
                <w:b w:val="0"/>
                <w:sz w:val="14"/>
              </w:rPr>
              <w:t>ASSET_NODE.equipment_class_id</w:t>
            </w:r>
          </w:p>
        </w:tc>
        <w:tc>
          <w:tcPr>
            <w:tcW w:type="dxa" w:w="3744"/>
            <w:vAlign w:val="top"/>
          </w:tcPr>
          <w:p>
            <w:pPr>
              <w:spacing w:after="0" w:before="0"/>
            </w:pPr>
            <w:r/>
            <w:r>
              <w:rPr>
                <w:rFonts w:ascii="Aptos" w:hAnsi="Aptos"/>
                <w:b w:val="0"/>
                <w:sz w:val="14"/>
              </w:rPr>
              <w:t>Classifies equipment-level nodes; null for non-equipment hierarchy levels unless approved otherwise.</w:t>
            </w:r>
          </w:p>
        </w:tc>
      </w:tr>
      <w:tr>
        <w:trPr>
          <w:cantSplit/>
        </w:trPr>
        <w:tc>
          <w:tcPr>
            <w:tcW w:type="dxa" w:w="2592"/>
            <w:vAlign w:val="top"/>
            <w:shd w:fill="F5F8FB"/>
          </w:tcPr>
          <w:p>
            <w:pPr>
              <w:spacing w:after="0" w:before="0"/>
            </w:pPr>
            <w:r/>
            <w:r>
              <w:rPr>
                <w:rFonts w:ascii="Aptos" w:hAnsi="Aptos"/>
                <w:b w:val="0"/>
                <w:sz w:val="14"/>
              </w:rPr>
              <w:t>ASSET_NODE → ASSET_NODE</w:t>
            </w:r>
          </w:p>
        </w:tc>
        <w:tc>
          <w:tcPr>
            <w:tcW w:type="dxa" w:w="1728"/>
            <w:vAlign w:val="top"/>
            <w:shd w:fill="F5F8FB"/>
          </w:tcPr>
          <w:p>
            <w:pPr>
              <w:spacing w:after="0" w:before="0"/>
            </w:pPr>
            <w:r/>
            <w:r>
              <w:rPr>
                <w:rFonts w:ascii="Aptos" w:hAnsi="Aptos"/>
                <w:b w:val="0"/>
                <w:sz w:val="14"/>
              </w:rPr>
              <w:t>parent 0..1 : child 0..many</w:t>
            </w:r>
          </w:p>
        </w:tc>
        <w:tc>
          <w:tcPr>
            <w:tcW w:type="dxa" w:w="3024"/>
            <w:vAlign w:val="top"/>
            <w:shd w:fill="F5F8FB"/>
          </w:tcPr>
          <w:p>
            <w:pPr>
              <w:spacing w:after="0" w:before="0"/>
            </w:pPr>
            <w:r/>
            <w:r>
              <w:rPr>
                <w:rFonts w:ascii="Aptos" w:hAnsi="Aptos"/>
                <w:b w:val="0"/>
                <w:sz w:val="14"/>
              </w:rPr>
              <w:t>ASSET_NODE.parent_asset_id</w:t>
            </w:r>
          </w:p>
        </w:tc>
        <w:tc>
          <w:tcPr>
            <w:tcW w:type="dxa" w:w="3744"/>
            <w:vAlign w:val="top"/>
            <w:shd w:fill="F5F8FB"/>
          </w:tcPr>
          <w:p>
            <w:pPr>
              <w:spacing w:after="0" w:before="0"/>
            </w:pPr>
            <w:r/>
            <w:r>
              <w:rPr>
                <w:rFonts w:ascii="Aptos" w:hAnsi="Aptos"/>
                <w:b w:val="0"/>
                <w:sz w:val="14"/>
              </w:rPr>
              <w:t>Recursive parent-child hierarchy. Enforce Plant→Area→System→Equipment→Component after Group 1 approval.</w:t>
            </w:r>
          </w:p>
        </w:tc>
      </w:tr>
      <w:tr>
        <w:trPr>
          <w:cantSplit/>
        </w:trPr>
        <w:tc>
          <w:tcPr>
            <w:tcW w:type="dxa" w:w="2592"/>
            <w:vAlign w:val="top"/>
          </w:tcPr>
          <w:p>
            <w:pPr>
              <w:spacing w:after="0" w:before="0"/>
            </w:pPr>
            <w:r/>
            <w:r>
              <w:rPr>
                <w:rFonts w:ascii="Aptos" w:hAnsi="Aptos"/>
                <w:b w:val="0"/>
                <w:sz w:val="14"/>
              </w:rPr>
              <w:t>EQUIPMENT_CLASS → TROUBLESHOOTING_CASE</w:t>
            </w:r>
          </w:p>
        </w:tc>
        <w:tc>
          <w:tcPr>
            <w:tcW w:type="dxa" w:w="1728"/>
            <w:vAlign w:val="top"/>
          </w:tcPr>
          <w:p>
            <w:pPr>
              <w:spacing w:after="0" w:before="0"/>
            </w:pPr>
            <w:r/>
            <w:r>
              <w:rPr>
                <w:rFonts w:ascii="Aptos" w:hAnsi="Aptos"/>
                <w:b w:val="0"/>
                <w:sz w:val="14"/>
              </w:rPr>
              <w:t>1 : 0..many</w:t>
            </w:r>
          </w:p>
        </w:tc>
        <w:tc>
          <w:tcPr>
            <w:tcW w:type="dxa" w:w="3024"/>
            <w:vAlign w:val="top"/>
          </w:tcPr>
          <w:p>
            <w:pPr>
              <w:spacing w:after="0" w:before="0"/>
            </w:pPr>
            <w:r/>
            <w:r>
              <w:rPr>
                <w:rFonts w:ascii="Aptos" w:hAnsi="Aptos"/>
                <w:b w:val="0"/>
                <w:sz w:val="14"/>
              </w:rPr>
              <w:t>TROUBLESHOOTING_CASE.equipment_class_id</w:t>
            </w:r>
          </w:p>
        </w:tc>
        <w:tc>
          <w:tcPr>
            <w:tcW w:type="dxa" w:w="3744"/>
            <w:vAlign w:val="top"/>
          </w:tcPr>
          <w:p>
            <w:pPr>
              <w:spacing w:after="0" w:before="0"/>
            </w:pPr>
            <w:r/>
            <w:r>
              <w:rPr>
                <w:rFonts w:ascii="Aptos" w:hAnsi="Aptos"/>
                <w:b w:val="0"/>
                <w:sz w:val="14"/>
              </w:rPr>
              <w:t>Each case has exactly one equipment class in the current corpus.</w:t>
            </w:r>
          </w:p>
        </w:tc>
      </w:tr>
      <w:tr>
        <w:trPr>
          <w:cantSplit/>
        </w:trPr>
        <w:tc>
          <w:tcPr>
            <w:tcW w:type="dxa" w:w="2592"/>
            <w:vAlign w:val="top"/>
            <w:shd w:fill="F5F8FB"/>
          </w:tcPr>
          <w:p>
            <w:pPr>
              <w:spacing w:after="0" w:before="0"/>
            </w:pPr>
            <w:r/>
            <w:r>
              <w:rPr>
                <w:rFonts w:ascii="Aptos" w:hAnsi="Aptos"/>
                <w:b w:val="0"/>
                <w:sz w:val="14"/>
              </w:rPr>
              <w:t>ASSET_NODE → TROUBLESHOOTING_CASE</w:t>
            </w:r>
          </w:p>
        </w:tc>
        <w:tc>
          <w:tcPr>
            <w:tcW w:type="dxa" w:w="1728"/>
            <w:vAlign w:val="top"/>
            <w:shd w:fill="F5F8FB"/>
          </w:tcPr>
          <w:p>
            <w:pPr>
              <w:spacing w:after="0" w:before="0"/>
            </w:pPr>
            <w:r/>
            <w:r>
              <w:rPr>
                <w:rFonts w:ascii="Aptos" w:hAnsi="Aptos"/>
                <w:b w:val="0"/>
                <w:sz w:val="14"/>
              </w:rPr>
              <w:t>1 : 0..many (case link optional)</w:t>
            </w:r>
          </w:p>
        </w:tc>
        <w:tc>
          <w:tcPr>
            <w:tcW w:type="dxa" w:w="3024"/>
            <w:vAlign w:val="top"/>
            <w:shd w:fill="F5F8FB"/>
          </w:tcPr>
          <w:p>
            <w:pPr>
              <w:spacing w:after="0" w:before="0"/>
            </w:pPr>
            <w:r/>
            <w:r>
              <w:rPr>
                <w:rFonts w:ascii="Aptos" w:hAnsi="Aptos"/>
                <w:b w:val="0"/>
                <w:sz w:val="14"/>
              </w:rPr>
              <w:t>TROUBLESHOOTING_CASE.asset_id nullable</w:t>
            </w:r>
          </w:p>
        </w:tc>
        <w:tc>
          <w:tcPr>
            <w:tcW w:type="dxa" w:w="3744"/>
            <w:vAlign w:val="top"/>
            <w:shd w:fill="F5F8FB"/>
          </w:tcPr>
          <w:p>
            <w:pPr>
              <w:spacing w:after="0" w:before="0"/>
            </w:pPr>
            <w:r/>
            <w:r>
              <w:rPr>
                <w:rFonts w:ascii="Aptos" w:hAnsi="Aptos"/>
                <w:b w:val="0"/>
                <w:sz w:val="14"/>
              </w:rPr>
              <w:t>Link only when a case genuinely concerns an identified real asset; synthetic scenarios remain unlinked by default.</w:t>
            </w:r>
          </w:p>
        </w:tc>
      </w:tr>
      <w:tr>
        <w:trPr>
          <w:cantSplit/>
        </w:trPr>
        <w:tc>
          <w:tcPr>
            <w:tcW w:type="dxa" w:w="2592"/>
            <w:vAlign w:val="top"/>
          </w:tcPr>
          <w:p>
            <w:pPr>
              <w:spacing w:after="0" w:before="0"/>
            </w:pPr>
            <w:r/>
            <w:r>
              <w:rPr>
                <w:rFonts w:ascii="Aptos" w:hAnsi="Aptos"/>
                <w:b w:val="0"/>
                <w:sz w:val="14"/>
              </w:rPr>
              <w:t>TROUBLESHOOTING_CASE → CASE_SYMPTOM</w:t>
            </w:r>
          </w:p>
        </w:tc>
        <w:tc>
          <w:tcPr>
            <w:tcW w:type="dxa" w:w="1728"/>
            <w:vAlign w:val="top"/>
          </w:tcPr>
          <w:p>
            <w:pPr>
              <w:spacing w:after="0" w:before="0"/>
            </w:pPr>
            <w:r/>
            <w:r>
              <w:rPr>
                <w:rFonts w:ascii="Aptos" w:hAnsi="Aptos"/>
                <w:b w:val="0"/>
                <w:sz w:val="14"/>
              </w:rPr>
              <w:t>1 : 1..many</w:t>
            </w:r>
          </w:p>
        </w:tc>
        <w:tc>
          <w:tcPr>
            <w:tcW w:type="dxa" w:w="3024"/>
            <w:vAlign w:val="top"/>
          </w:tcPr>
          <w:p>
            <w:pPr>
              <w:spacing w:after="0" w:before="0"/>
            </w:pPr>
            <w:r/>
            <w:r>
              <w:rPr>
                <w:rFonts w:ascii="Aptos" w:hAnsi="Aptos"/>
                <w:b w:val="0"/>
                <w:sz w:val="14"/>
              </w:rPr>
              <w:t>CASE_SYMPTOM.case_id</w:t>
            </w:r>
          </w:p>
        </w:tc>
        <w:tc>
          <w:tcPr>
            <w:tcW w:type="dxa" w:w="3744"/>
            <w:vAlign w:val="top"/>
          </w:tcPr>
          <w:p>
            <w:pPr>
              <w:spacing w:after="0" w:before="0"/>
            </w:pPr>
            <w:r/>
            <w:r>
              <w:rPr>
                <w:rFonts w:ascii="Aptos" w:hAnsi="Aptos"/>
                <w:b w:val="0"/>
                <w:sz w:val="14"/>
              </w:rPr>
              <w:t>A case can have multiple symptom entries; current import also retains concise symptom text.</w:t>
            </w:r>
          </w:p>
        </w:tc>
      </w:tr>
      <w:tr>
        <w:trPr>
          <w:cantSplit/>
        </w:trPr>
        <w:tc>
          <w:tcPr>
            <w:tcW w:type="dxa" w:w="2592"/>
            <w:vAlign w:val="top"/>
            <w:shd w:fill="F5F8FB"/>
          </w:tcPr>
          <w:p>
            <w:pPr>
              <w:spacing w:after="0" w:before="0"/>
            </w:pPr>
            <w:r/>
            <w:r>
              <w:rPr>
                <w:rFonts w:ascii="Aptos" w:hAnsi="Aptos"/>
                <w:b w:val="0"/>
                <w:sz w:val="14"/>
              </w:rPr>
              <w:t>TROUBLESHOOTING_CASE → DIAGNOSTIC_STEP</w:t>
            </w:r>
          </w:p>
        </w:tc>
        <w:tc>
          <w:tcPr>
            <w:tcW w:type="dxa" w:w="1728"/>
            <w:vAlign w:val="top"/>
            <w:shd w:fill="F5F8FB"/>
          </w:tcPr>
          <w:p>
            <w:pPr>
              <w:spacing w:after="0" w:before="0"/>
            </w:pPr>
            <w:r/>
            <w:r>
              <w:rPr>
                <w:rFonts w:ascii="Aptos" w:hAnsi="Aptos"/>
                <w:b w:val="0"/>
                <w:sz w:val="14"/>
              </w:rPr>
              <w:t>1 : 1..many</w:t>
            </w:r>
          </w:p>
        </w:tc>
        <w:tc>
          <w:tcPr>
            <w:tcW w:type="dxa" w:w="3024"/>
            <w:vAlign w:val="top"/>
            <w:shd w:fill="F5F8FB"/>
          </w:tcPr>
          <w:p>
            <w:pPr>
              <w:spacing w:after="0" w:before="0"/>
            </w:pPr>
            <w:r/>
            <w:r>
              <w:rPr>
                <w:rFonts w:ascii="Aptos" w:hAnsi="Aptos"/>
                <w:b w:val="0"/>
                <w:sz w:val="14"/>
              </w:rPr>
              <w:t>DIAGNOSTIC_STEP.case_id; UNIQUE(case_id, step_number)</w:t>
            </w:r>
          </w:p>
        </w:tc>
        <w:tc>
          <w:tcPr>
            <w:tcW w:type="dxa" w:w="3744"/>
            <w:vAlign w:val="top"/>
            <w:shd w:fill="F5F8FB"/>
          </w:tcPr>
          <w:p>
            <w:pPr>
              <w:spacing w:after="0" w:before="0"/>
            </w:pPr>
            <w:r/>
            <w:r>
              <w:rPr>
                <w:rFonts w:ascii="Aptos" w:hAnsi="Aptos"/>
                <w:b w:val="0"/>
                <w:sz w:val="14"/>
              </w:rPr>
              <w:t>Ordered diagnostic workflow; 350 rows currently exist across 50 cases.</w:t>
            </w:r>
          </w:p>
        </w:tc>
      </w:tr>
      <w:tr>
        <w:trPr>
          <w:cantSplit/>
        </w:trPr>
        <w:tc>
          <w:tcPr>
            <w:tcW w:type="dxa" w:w="2592"/>
            <w:vAlign w:val="top"/>
          </w:tcPr>
          <w:p>
            <w:pPr>
              <w:spacing w:after="0" w:before="0"/>
            </w:pPr>
            <w:r/>
            <w:r>
              <w:rPr>
                <w:rFonts w:ascii="Aptos" w:hAnsi="Aptos"/>
                <w:b w:val="0"/>
                <w:sz w:val="14"/>
              </w:rPr>
              <w:t>TROUBLESHOOTING_CASE → CASE_FAILURE_MAPPING</w:t>
            </w:r>
          </w:p>
        </w:tc>
        <w:tc>
          <w:tcPr>
            <w:tcW w:type="dxa" w:w="1728"/>
            <w:vAlign w:val="top"/>
          </w:tcPr>
          <w:p>
            <w:pPr>
              <w:spacing w:after="0" w:before="0"/>
            </w:pPr>
            <w:r/>
            <w:r>
              <w:rPr>
                <w:rFonts w:ascii="Aptos" w:hAnsi="Aptos"/>
                <w:b w:val="0"/>
                <w:sz w:val="14"/>
              </w:rPr>
              <w:t>1 : 0..many</w:t>
            </w:r>
          </w:p>
        </w:tc>
        <w:tc>
          <w:tcPr>
            <w:tcW w:type="dxa" w:w="3024"/>
            <w:vAlign w:val="top"/>
          </w:tcPr>
          <w:p>
            <w:pPr>
              <w:spacing w:after="0" w:before="0"/>
            </w:pPr>
            <w:r/>
            <w:r>
              <w:rPr>
                <w:rFonts w:ascii="Aptos" w:hAnsi="Aptos"/>
                <w:b w:val="0"/>
                <w:sz w:val="14"/>
              </w:rPr>
              <w:t>CASE_FAILURE_MAPPING.case_id</w:t>
            </w:r>
          </w:p>
        </w:tc>
        <w:tc>
          <w:tcPr>
            <w:tcW w:type="dxa" w:w="3744"/>
            <w:vAlign w:val="top"/>
          </w:tcPr>
          <w:p>
            <w:pPr>
              <w:spacing w:after="0" w:before="0"/>
            </w:pPr>
            <w:r/>
            <w:r>
              <w:rPr>
                <w:rFonts w:ascii="Aptos" w:hAnsi="Aptos"/>
                <w:b w:val="0"/>
                <w:sz w:val="14"/>
              </w:rPr>
              <w:t>Allows mappings to be provisional, ambiguous, or missing without fabricating a taxonomy link.</w:t>
            </w:r>
          </w:p>
        </w:tc>
      </w:tr>
      <w:tr>
        <w:trPr>
          <w:cantSplit/>
        </w:trPr>
        <w:tc>
          <w:tcPr>
            <w:tcW w:type="dxa" w:w="2592"/>
            <w:vAlign w:val="top"/>
            <w:shd w:fill="F5F8FB"/>
          </w:tcPr>
          <w:p>
            <w:pPr>
              <w:spacing w:after="0" w:before="0"/>
            </w:pPr>
            <w:r/>
            <w:r>
              <w:rPr>
                <w:rFonts w:ascii="Aptos" w:hAnsi="Aptos"/>
                <w:b w:val="0"/>
                <w:sz w:val="14"/>
              </w:rPr>
              <w:t>FAILURE_MODE_TAXONOMY → CASE_FAILURE_MAPPING</w:t>
            </w:r>
          </w:p>
        </w:tc>
        <w:tc>
          <w:tcPr>
            <w:tcW w:type="dxa" w:w="1728"/>
            <w:vAlign w:val="top"/>
            <w:shd w:fill="F5F8FB"/>
          </w:tcPr>
          <w:p>
            <w:pPr>
              <w:spacing w:after="0" w:before="0"/>
            </w:pPr>
            <w:r/>
            <w:r>
              <w:rPr>
                <w:rFonts w:ascii="Aptos" w:hAnsi="Aptos"/>
                <w:b w:val="0"/>
                <w:sz w:val="14"/>
              </w:rPr>
              <w:t>0..1 target per mapping</w:t>
            </w:r>
          </w:p>
        </w:tc>
        <w:tc>
          <w:tcPr>
            <w:tcW w:type="dxa" w:w="3024"/>
            <w:vAlign w:val="top"/>
            <w:shd w:fill="F5F8FB"/>
          </w:tcPr>
          <w:p>
            <w:pPr>
              <w:spacing w:after="0" w:before="0"/>
            </w:pPr>
            <w:r/>
            <w:r>
              <w:rPr>
                <w:rFonts w:ascii="Aptos" w:hAnsi="Aptos"/>
                <w:b w:val="0"/>
                <w:sz w:val="14"/>
              </w:rPr>
              <w:t>CASE_FAILURE_MAPPING.taxonomy_code nullable</w:t>
            </w:r>
          </w:p>
        </w:tc>
        <w:tc>
          <w:tcPr>
            <w:tcW w:type="dxa" w:w="3744"/>
            <w:vAlign w:val="top"/>
            <w:shd w:fill="F5F8FB"/>
          </w:tcPr>
          <w:p>
            <w:pPr>
              <w:spacing w:after="0" w:before="0"/>
            </w:pPr>
            <w:r/>
            <w:r>
              <w:rPr>
                <w:rFonts w:ascii="Aptos" w:hAnsi="Aptos"/>
                <w:b w:val="0"/>
                <w:sz w:val="14"/>
              </w:rPr>
              <w:t>Taxonomy target may be null while a known taxonomy gap is under review.</w:t>
            </w:r>
          </w:p>
        </w:tc>
      </w:tr>
      <w:tr>
        <w:trPr>
          <w:cantSplit/>
        </w:trPr>
        <w:tc>
          <w:tcPr>
            <w:tcW w:type="dxa" w:w="2592"/>
            <w:vAlign w:val="top"/>
          </w:tcPr>
          <w:p>
            <w:pPr>
              <w:spacing w:after="0" w:before="0"/>
            </w:pPr>
            <w:r/>
            <w:r>
              <w:rPr>
                <w:rFonts w:ascii="Aptos" w:hAnsi="Aptos"/>
                <w:b w:val="0"/>
                <w:sz w:val="14"/>
              </w:rPr>
              <w:t>FAILURE_MODE_VOCABULARY → CASE_FAILURE_MAPPING</w:t>
            </w:r>
          </w:p>
        </w:tc>
        <w:tc>
          <w:tcPr>
            <w:tcW w:type="dxa" w:w="1728"/>
            <w:vAlign w:val="top"/>
          </w:tcPr>
          <w:p>
            <w:pPr>
              <w:spacing w:after="0" w:before="0"/>
            </w:pPr>
            <w:r/>
            <w:r>
              <w:rPr>
                <w:rFonts w:ascii="Aptos" w:hAnsi="Aptos"/>
                <w:b w:val="0"/>
                <w:sz w:val="14"/>
              </w:rPr>
              <w:t>0..1 target per mapping</w:t>
            </w:r>
          </w:p>
        </w:tc>
        <w:tc>
          <w:tcPr>
            <w:tcW w:type="dxa" w:w="3024"/>
            <w:vAlign w:val="top"/>
          </w:tcPr>
          <w:p>
            <w:pPr>
              <w:spacing w:after="0" w:before="0"/>
            </w:pPr>
            <w:r/>
            <w:r>
              <w:rPr>
                <w:rFonts w:ascii="Aptos" w:hAnsi="Aptos"/>
                <w:b w:val="0"/>
                <w:sz w:val="14"/>
              </w:rPr>
              <w:t>CASE_FAILURE_MAPPING.failure_mode_id nullable</w:t>
            </w:r>
          </w:p>
        </w:tc>
        <w:tc>
          <w:tcPr>
            <w:tcW w:type="dxa" w:w="3744"/>
            <w:vAlign w:val="top"/>
          </w:tcPr>
          <w:p>
            <w:pPr>
              <w:spacing w:after="0" w:before="0"/>
            </w:pPr>
            <w:r/>
            <w:r>
              <w:rPr>
                <w:rFonts w:ascii="Aptos" w:hAnsi="Aptos"/>
                <w:b w:val="0"/>
                <w:sz w:val="14"/>
              </w:rPr>
              <w:t>Project-local vocabulary ID is not an ISO code; mapping must remain separately reviewable.</w:t>
            </w:r>
          </w:p>
        </w:tc>
      </w:tr>
      <w:tr>
        <w:trPr>
          <w:cantSplit/>
        </w:trPr>
        <w:tc>
          <w:tcPr>
            <w:tcW w:type="dxa" w:w="2592"/>
            <w:vAlign w:val="top"/>
            <w:shd w:fill="F5F8FB"/>
          </w:tcPr>
          <w:p>
            <w:pPr>
              <w:spacing w:after="0" w:before="0"/>
            </w:pPr>
            <w:r/>
            <w:r>
              <w:rPr>
                <w:rFonts w:ascii="Aptos" w:hAnsi="Aptos"/>
                <w:b w:val="0"/>
                <w:sz w:val="14"/>
              </w:rPr>
              <w:t>EQUIPMENT_CLASS → FAILURE_MODE_TAXONOMY</w:t>
            </w:r>
          </w:p>
        </w:tc>
        <w:tc>
          <w:tcPr>
            <w:tcW w:type="dxa" w:w="1728"/>
            <w:vAlign w:val="top"/>
            <w:shd w:fill="F5F8FB"/>
          </w:tcPr>
          <w:p>
            <w:pPr>
              <w:spacing w:after="0" w:before="0"/>
            </w:pPr>
            <w:r/>
            <w:r>
              <w:rPr>
                <w:rFonts w:ascii="Aptos" w:hAnsi="Aptos"/>
                <w:b w:val="0"/>
                <w:sz w:val="14"/>
              </w:rPr>
              <w:t>1 : 0..many</w:t>
            </w:r>
          </w:p>
        </w:tc>
        <w:tc>
          <w:tcPr>
            <w:tcW w:type="dxa" w:w="3024"/>
            <w:vAlign w:val="top"/>
            <w:shd w:fill="F5F8FB"/>
          </w:tcPr>
          <w:p>
            <w:pPr>
              <w:spacing w:after="0" w:before="0"/>
            </w:pPr>
            <w:r/>
            <w:r>
              <w:rPr>
                <w:rFonts w:ascii="Aptos" w:hAnsi="Aptos"/>
                <w:b w:val="0"/>
                <w:sz w:val="14"/>
              </w:rPr>
              <w:t>FAILURE_MODE_TAXONOMY.equipment_class_id</w:t>
            </w:r>
          </w:p>
        </w:tc>
        <w:tc>
          <w:tcPr>
            <w:tcW w:type="dxa" w:w="3744"/>
            <w:vAlign w:val="top"/>
            <w:shd w:fill="F5F8FB"/>
          </w:tcPr>
          <w:p>
            <w:pPr>
              <w:spacing w:after="0" w:before="0"/>
            </w:pPr>
            <w:r/>
            <w:r>
              <w:rPr>
                <w:rFonts w:ascii="Aptos" w:hAnsi="Aptos"/>
                <w:b w:val="0"/>
                <w:sz w:val="14"/>
              </w:rPr>
              <w:t>A class can have many applicable taxonomy entries.</w:t>
            </w:r>
          </w:p>
        </w:tc>
      </w:tr>
      <w:tr>
        <w:trPr>
          <w:cantSplit/>
        </w:trPr>
        <w:tc>
          <w:tcPr>
            <w:tcW w:type="dxa" w:w="2592"/>
            <w:vAlign w:val="top"/>
          </w:tcPr>
          <w:p>
            <w:pPr>
              <w:spacing w:after="0" w:before="0"/>
            </w:pPr>
            <w:r/>
            <w:r>
              <w:rPr>
                <w:rFonts w:ascii="Aptos" w:hAnsi="Aptos"/>
                <w:b w:val="0"/>
                <w:sz w:val="14"/>
              </w:rPr>
              <w:t>TROUBLESHOOTING_CASE → CASE_SOURCE</w:t>
            </w:r>
          </w:p>
        </w:tc>
        <w:tc>
          <w:tcPr>
            <w:tcW w:type="dxa" w:w="1728"/>
            <w:vAlign w:val="top"/>
          </w:tcPr>
          <w:p>
            <w:pPr>
              <w:spacing w:after="0" w:before="0"/>
            </w:pPr>
            <w:r/>
            <w:r>
              <w:rPr>
                <w:rFonts w:ascii="Aptos" w:hAnsi="Aptos"/>
                <w:b w:val="0"/>
                <w:sz w:val="14"/>
              </w:rPr>
              <w:t>1 : 0..many</w:t>
            </w:r>
          </w:p>
        </w:tc>
        <w:tc>
          <w:tcPr>
            <w:tcW w:type="dxa" w:w="3024"/>
            <w:vAlign w:val="top"/>
          </w:tcPr>
          <w:p>
            <w:pPr>
              <w:spacing w:after="0" w:before="0"/>
            </w:pPr>
            <w:r/>
            <w:r>
              <w:rPr>
                <w:rFonts w:ascii="Aptos" w:hAnsi="Aptos"/>
                <w:b w:val="0"/>
                <w:sz w:val="14"/>
              </w:rPr>
              <w:t>CASE_SOURCE.case_id</w:t>
            </w:r>
          </w:p>
        </w:tc>
        <w:tc>
          <w:tcPr>
            <w:tcW w:type="dxa" w:w="3744"/>
            <w:vAlign w:val="top"/>
          </w:tcPr>
          <w:p>
            <w:pPr>
              <w:spacing w:after="0" w:before="0"/>
            </w:pPr>
            <w:r/>
            <w:r>
              <w:rPr>
                <w:rFonts w:ascii="Aptos" w:hAnsi="Aptos"/>
                <w:b w:val="0"/>
                <w:sz w:val="14"/>
              </w:rPr>
              <w:t>Bridge table supports multiple sources per case.</w:t>
            </w:r>
          </w:p>
        </w:tc>
      </w:tr>
      <w:tr>
        <w:trPr>
          <w:cantSplit/>
        </w:trPr>
        <w:tc>
          <w:tcPr>
            <w:tcW w:type="dxa" w:w="2592"/>
            <w:vAlign w:val="top"/>
            <w:shd w:fill="F5F8FB"/>
          </w:tcPr>
          <w:p>
            <w:pPr>
              <w:spacing w:after="0" w:before="0"/>
            </w:pPr>
            <w:r/>
            <w:r>
              <w:rPr>
                <w:rFonts w:ascii="Aptos" w:hAnsi="Aptos"/>
                <w:b w:val="0"/>
                <w:sz w:val="14"/>
              </w:rPr>
              <w:t>SOURCE_REFERENCE → CASE_SOURCE</w:t>
            </w:r>
          </w:p>
        </w:tc>
        <w:tc>
          <w:tcPr>
            <w:tcW w:type="dxa" w:w="1728"/>
            <w:vAlign w:val="top"/>
            <w:shd w:fill="F5F8FB"/>
          </w:tcPr>
          <w:p>
            <w:pPr>
              <w:spacing w:after="0" w:before="0"/>
            </w:pPr>
            <w:r/>
            <w:r>
              <w:rPr>
                <w:rFonts w:ascii="Aptos" w:hAnsi="Aptos"/>
                <w:b w:val="0"/>
                <w:sz w:val="14"/>
              </w:rPr>
              <w:t>1 : 0..many</w:t>
            </w:r>
          </w:p>
        </w:tc>
        <w:tc>
          <w:tcPr>
            <w:tcW w:type="dxa" w:w="3024"/>
            <w:vAlign w:val="top"/>
            <w:shd w:fill="F5F8FB"/>
          </w:tcPr>
          <w:p>
            <w:pPr>
              <w:spacing w:after="0" w:before="0"/>
            </w:pPr>
            <w:r/>
            <w:r>
              <w:rPr>
                <w:rFonts w:ascii="Aptos" w:hAnsi="Aptos"/>
                <w:b w:val="0"/>
                <w:sz w:val="14"/>
              </w:rPr>
              <w:t>CASE_SOURCE.source_id</w:t>
            </w:r>
          </w:p>
        </w:tc>
        <w:tc>
          <w:tcPr>
            <w:tcW w:type="dxa" w:w="3744"/>
            <w:vAlign w:val="top"/>
            <w:shd w:fill="F5F8FB"/>
          </w:tcPr>
          <w:p>
            <w:pPr>
              <w:spacing w:after="0" w:before="0"/>
            </w:pPr>
            <w:r/>
            <w:r>
              <w:rPr>
                <w:rFonts w:ascii="Aptos" w:hAnsi="Aptos"/>
                <w:b w:val="0"/>
                <w:sz w:val="14"/>
              </w:rPr>
              <w:t>A source may support multiple cases.</w:t>
            </w:r>
          </w:p>
        </w:tc>
      </w:tr>
      <w:tr>
        <w:trPr>
          <w:cantSplit/>
        </w:trPr>
        <w:tc>
          <w:tcPr>
            <w:tcW w:type="dxa" w:w="2592"/>
            <w:vAlign w:val="top"/>
          </w:tcPr>
          <w:p>
            <w:pPr>
              <w:spacing w:after="0" w:before="0"/>
            </w:pPr>
            <w:r/>
            <w:r>
              <w:rPr>
                <w:rFonts w:ascii="Aptos" w:hAnsi="Aptos"/>
                <w:b w:val="0"/>
                <w:sz w:val="14"/>
              </w:rPr>
              <w:t>TROUBLESHOOTING_CASE → CASE_VERIFICATION</w:t>
            </w:r>
          </w:p>
        </w:tc>
        <w:tc>
          <w:tcPr>
            <w:tcW w:type="dxa" w:w="1728"/>
            <w:vAlign w:val="top"/>
          </w:tcPr>
          <w:p>
            <w:pPr>
              <w:spacing w:after="0" w:before="0"/>
            </w:pPr>
            <w:r/>
            <w:r>
              <w:rPr>
                <w:rFonts w:ascii="Aptos" w:hAnsi="Aptos"/>
                <w:b w:val="0"/>
                <w:sz w:val="14"/>
              </w:rPr>
              <w:t>1 : 0..many</w:t>
            </w:r>
          </w:p>
        </w:tc>
        <w:tc>
          <w:tcPr>
            <w:tcW w:type="dxa" w:w="3024"/>
            <w:vAlign w:val="top"/>
          </w:tcPr>
          <w:p>
            <w:pPr>
              <w:spacing w:after="0" w:before="0"/>
            </w:pPr>
            <w:r/>
            <w:r>
              <w:rPr>
                <w:rFonts w:ascii="Aptos" w:hAnsi="Aptos"/>
                <w:b w:val="0"/>
                <w:sz w:val="14"/>
              </w:rPr>
              <w:t>CASE_VERIFICATION.case_id</w:t>
            </w:r>
          </w:p>
        </w:tc>
        <w:tc>
          <w:tcPr>
            <w:tcW w:type="dxa" w:w="3744"/>
            <w:vAlign w:val="top"/>
          </w:tcPr>
          <w:p>
            <w:pPr>
              <w:spacing w:after="0" w:before="0"/>
            </w:pPr>
            <w:r/>
            <w:r>
              <w:rPr>
                <w:rFonts w:ascii="Aptos" w:hAnsi="Aptos"/>
                <w:b w:val="0"/>
                <w:sz w:val="14"/>
              </w:rPr>
              <w:t>Versioned review history; no review is treated as approval.</w:t>
            </w:r>
          </w:p>
        </w:tc>
      </w:tr>
      <w:tr>
        <w:trPr>
          <w:cantSplit/>
        </w:trPr>
        <w:tc>
          <w:tcPr>
            <w:tcW w:type="dxa" w:w="2592"/>
            <w:vAlign w:val="top"/>
            <w:shd w:fill="F5F8FB"/>
          </w:tcPr>
          <w:p>
            <w:pPr>
              <w:spacing w:after="0" w:before="0"/>
            </w:pPr>
            <w:r/>
            <w:r>
              <w:rPr>
                <w:rFonts w:ascii="Aptos" w:hAnsi="Aptos"/>
                <w:b w:val="0"/>
                <w:sz w:val="14"/>
              </w:rPr>
              <w:t>ASSET_NODE → ASSET_CRITICALITY_ASSESSMENT</w:t>
            </w:r>
          </w:p>
        </w:tc>
        <w:tc>
          <w:tcPr>
            <w:tcW w:type="dxa" w:w="1728"/>
            <w:vAlign w:val="top"/>
            <w:shd w:fill="F5F8FB"/>
          </w:tcPr>
          <w:p>
            <w:pPr>
              <w:spacing w:after="0" w:before="0"/>
            </w:pPr>
            <w:r/>
            <w:r>
              <w:rPr>
                <w:rFonts w:ascii="Aptos" w:hAnsi="Aptos"/>
                <w:b w:val="0"/>
                <w:sz w:val="14"/>
              </w:rPr>
              <w:t>1 : 0..many</w:t>
            </w:r>
          </w:p>
        </w:tc>
        <w:tc>
          <w:tcPr>
            <w:tcW w:type="dxa" w:w="3024"/>
            <w:vAlign w:val="top"/>
            <w:shd w:fill="F5F8FB"/>
          </w:tcPr>
          <w:p>
            <w:pPr>
              <w:spacing w:after="0" w:before="0"/>
            </w:pPr>
            <w:r/>
            <w:r>
              <w:rPr>
                <w:rFonts w:ascii="Aptos" w:hAnsi="Aptos"/>
                <w:b w:val="0"/>
                <w:sz w:val="14"/>
              </w:rPr>
              <w:t>ASSET_CRITICALITY_ASSESSMENT.asset_id</w:t>
            </w:r>
          </w:p>
        </w:tc>
        <w:tc>
          <w:tcPr>
            <w:tcW w:type="dxa" w:w="3744"/>
            <w:vAlign w:val="top"/>
            <w:shd w:fill="F5F8FB"/>
          </w:tcPr>
          <w:p>
            <w:pPr>
              <w:spacing w:after="0" w:before="0"/>
            </w:pPr>
            <w:r/>
            <w:r>
              <w:rPr>
                <w:rFonts w:ascii="Aptos" w:hAnsi="Aptos"/>
                <w:b w:val="0"/>
                <w:sz w:val="14"/>
              </w:rPr>
              <w:t>An asset may be assessed repeatedly over time or methodology versions.</w:t>
            </w:r>
          </w:p>
        </w:tc>
      </w:tr>
      <w:tr>
        <w:trPr>
          <w:cantSplit/>
        </w:trPr>
        <w:tc>
          <w:tcPr>
            <w:tcW w:type="dxa" w:w="2592"/>
            <w:vAlign w:val="top"/>
          </w:tcPr>
          <w:p>
            <w:pPr>
              <w:spacing w:after="0" w:before="0"/>
            </w:pPr>
            <w:r/>
            <w:r>
              <w:rPr>
                <w:rFonts w:ascii="Aptos" w:hAnsi="Aptos"/>
                <w:b w:val="0"/>
                <w:sz w:val="14"/>
              </w:rPr>
              <w:t>ASSET_CRITICALITY_ASSESSMENT → CRITICALITY_FACTOR_SCORE</w:t>
            </w:r>
          </w:p>
        </w:tc>
        <w:tc>
          <w:tcPr>
            <w:tcW w:type="dxa" w:w="1728"/>
            <w:vAlign w:val="top"/>
          </w:tcPr>
          <w:p>
            <w:pPr>
              <w:spacing w:after="0" w:before="0"/>
            </w:pPr>
            <w:r/>
            <w:r>
              <w:rPr>
                <w:rFonts w:ascii="Aptos" w:hAnsi="Aptos"/>
                <w:b w:val="0"/>
                <w:sz w:val="14"/>
              </w:rPr>
              <w:t>1 : 1..many</w:t>
            </w:r>
          </w:p>
        </w:tc>
        <w:tc>
          <w:tcPr>
            <w:tcW w:type="dxa" w:w="3024"/>
            <w:vAlign w:val="top"/>
          </w:tcPr>
          <w:p>
            <w:pPr>
              <w:spacing w:after="0" w:before="0"/>
            </w:pPr>
            <w:r/>
            <w:r>
              <w:rPr>
                <w:rFonts w:ascii="Aptos" w:hAnsi="Aptos"/>
                <w:b w:val="0"/>
                <w:sz w:val="14"/>
              </w:rPr>
              <w:t>CRITICALITY_FACTOR_SCORE.assessment_id</w:t>
            </w:r>
          </w:p>
        </w:tc>
        <w:tc>
          <w:tcPr>
            <w:tcW w:type="dxa" w:w="3744"/>
            <w:vAlign w:val="top"/>
          </w:tcPr>
          <w:p>
            <w:pPr>
              <w:spacing w:after="0" w:before="0"/>
            </w:pPr>
            <w:r/>
            <w:r>
              <w:rPr>
                <w:rFonts w:ascii="Aptos" w:hAnsi="Aptos"/>
                <w:b w:val="0"/>
                <w:sz w:val="14"/>
              </w:rPr>
              <w:t>Factor scores are separate so approved factors/weights can evolve without changing the table structure.</w:t>
            </w:r>
          </w:p>
        </w:tc>
      </w:tr>
      <w:tr>
        <w:trPr>
          <w:cantSplit/>
        </w:trPr>
        <w:tc>
          <w:tcPr>
            <w:tcW w:type="dxa" w:w="2592"/>
            <w:vAlign w:val="top"/>
            <w:shd w:fill="F5F8FB"/>
          </w:tcPr>
          <w:p>
            <w:pPr>
              <w:spacing w:after="0" w:before="0"/>
            </w:pPr>
            <w:r/>
            <w:r>
              <w:rPr>
                <w:rFonts w:ascii="Aptos" w:hAnsi="Aptos"/>
                <w:b w:val="0"/>
                <w:sz w:val="14"/>
              </w:rPr>
              <w:t>EQUIPMENT_CLASS → FMEA_ASSESSMENT</w:t>
            </w:r>
          </w:p>
        </w:tc>
        <w:tc>
          <w:tcPr>
            <w:tcW w:type="dxa" w:w="1728"/>
            <w:vAlign w:val="top"/>
            <w:shd w:fill="F5F8FB"/>
          </w:tcPr>
          <w:p>
            <w:pPr>
              <w:spacing w:after="0" w:before="0"/>
            </w:pPr>
            <w:r/>
            <w:r>
              <w:rPr>
                <w:rFonts w:ascii="Aptos" w:hAnsi="Aptos"/>
                <w:b w:val="0"/>
                <w:sz w:val="14"/>
              </w:rPr>
              <w:t>1 : 0..many</w:t>
            </w:r>
          </w:p>
        </w:tc>
        <w:tc>
          <w:tcPr>
            <w:tcW w:type="dxa" w:w="3024"/>
            <w:vAlign w:val="top"/>
            <w:shd w:fill="F5F8FB"/>
          </w:tcPr>
          <w:p>
            <w:pPr>
              <w:spacing w:after="0" w:before="0"/>
            </w:pPr>
            <w:r/>
            <w:r>
              <w:rPr>
                <w:rFonts w:ascii="Aptos" w:hAnsi="Aptos"/>
                <w:b w:val="0"/>
                <w:sz w:val="14"/>
              </w:rPr>
              <w:t>FMEA_ASSESSMENT.equipment_class_id</w:t>
            </w:r>
          </w:p>
        </w:tc>
        <w:tc>
          <w:tcPr>
            <w:tcW w:type="dxa" w:w="3744"/>
            <w:vAlign w:val="top"/>
            <w:shd w:fill="F5F8FB"/>
          </w:tcPr>
          <w:p>
            <w:pPr>
              <w:spacing w:after="0" w:before="0"/>
            </w:pPr>
            <w:r/>
            <w:r>
              <w:rPr>
                <w:rFonts w:ascii="Aptos" w:hAnsi="Aptos"/>
                <w:b w:val="0"/>
                <w:sz w:val="14"/>
              </w:rPr>
              <w:t>Class-level FMEA can exist without a live asset; asset-specific assessment is optional.</w:t>
            </w:r>
          </w:p>
        </w:tc>
      </w:tr>
      <w:tr>
        <w:trPr>
          <w:cantSplit/>
        </w:trPr>
        <w:tc>
          <w:tcPr>
            <w:tcW w:type="dxa" w:w="2592"/>
            <w:vAlign w:val="top"/>
          </w:tcPr>
          <w:p>
            <w:pPr>
              <w:spacing w:after="0" w:before="0"/>
            </w:pPr>
            <w:r/>
            <w:r>
              <w:rPr>
                <w:rFonts w:ascii="Aptos" w:hAnsi="Aptos"/>
                <w:b w:val="0"/>
                <w:sz w:val="14"/>
              </w:rPr>
              <w:t>FAILURE_MODE_TAXONOMY → FMEA_ASSESSMENT</w:t>
            </w:r>
          </w:p>
        </w:tc>
        <w:tc>
          <w:tcPr>
            <w:tcW w:type="dxa" w:w="1728"/>
            <w:vAlign w:val="top"/>
          </w:tcPr>
          <w:p>
            <w:pPr>
              <w:spacing w:after="0" w:before="0"/>
            </w:pPr>
            <w:r/>
            <w:r>
              <w:rPr>
                <w:rFonts w:ascii="Aptos" w:hAnsi="Aptos"/>
                <w:b w:val="0"/>
                <w:sz w:val="14"/>
              </w:rPr>
              <w:t>0..1 : 0..many</w:t>
            </w:r>
          </w:p>
        </w:tc>
        <w:tc>
          <w:tcPr>
            <w:tcW w:type="dxa" w:w="3024"/>
            <w:vAlign w:val="top"/>
          </w:tcPr>
          <w:p>
            <w:pPr>
              <w:spacing w:after="0" w:before="0"/>
            </w:pPr>
            <w:r/>
            <w:r>
              <w:rPr>
                <w:rFonts w:ascii="Aptos" w:hAnsi="Aptos"/>
                <w:b w:val="0"/>
                <w:sz w:val="14"/>
              </w:rPr>
              <w:t>FMEA_ASSESSMENT.taxonomy_code nullable</w:t>
            </w:r>
          </w:p>
        </w:tc>
        <w:tc>
          <w:tcPr>
            <w:tcW w:type="dxa" w:w="3744"/>
            <w:vAlign w:val="top"/>
          </w:tcPr>
          <w:p>
            <w:pPr>
              <w:spacing w:after="0" w:before="0"/>
            </w:pPr>
            <w:r/>
            <w:r>
              <w:rPr>
                <w:rFonts w:ascii="Aptos" w:hAnsi="Aptos"/>
                <w:b w:val="0"/>
                <w:sz w:val="14"/>
              </w:rPr>
              <w:t>Use only after taxonomy mapping is approved.</w:t>
            </w:r>
          </w:p>
        </w:tc>
      </w:tr>
      <w:tr>
        <w:trPr>
          <w:cantSplit/>
        </w:trPr>
        <w:tc>
          <w:tcPr>
            <w:tcW w:type="dxa" w:w="2592"/>
            <w:vAlign w:val="top"/>
            <w:shd w:fill="F5F8FB"/>
          </w:tcPr>
          <w:p>
            <w:pPr>
              <w:spacing w:after="0" w:before="0"/>
            </w:pPr>
            <w:r/>
            <w:r>
              <w:rPr>
                <w:rFonts w:ascii="Aptos" w:hAnsi="Aptos"/>
                <w:b w:val="0"/>
                <w:sz w:val="14"/>
              </w:rPr>
              <w:t>EQUIPMENT_CLASS → MEASUREMENT_REFERENCE</w:t>
            </w:r>
          </w:p>
        </w:tc>
        <w:tc>
          <w:tcPr>
            <w:tcW w:type="dxa" w:w="1728"/>
            <w:vAlign w:val="top"/>
            <w:shd w:fill="F5F8FB"/>
          </w:tcPr>
          <w:p>
            <w:pPr>
              <w:spacing w:after="0" w:before="0"/>
            </w:pPr>
            <w:r/>
            <w:r>
              <w:rPr>
                <w:rFonts w:ascii="Aptos" w:hAnsi="Aptos"/>
                <w:b w:val="0"/>
                <w:sz w:val="14"/>
              </w:rPr>
              <w:t>1 : 0..many</w:t>
            </w:r>
          </w:p>
        </w:tc>
        <w:tc>
          <w:tcPr>
            <w:tcW w:type="dxa" w:w="3024"/>
            <w:vAlign w:val="top"/>
            <w:shd w:fill="F5F8FB"/>
          </w:tcPr>
          <w:p>
            <w:pPr>
              <w:spacing w:after="0" w:before="0"/>
            </w:pPr>
            <w:r/>
            <w:r>
              <w:rPr>
                <w:rFonts w:ascii="Aptos" w:hAnsi="Aptos"/>
                <w:b w:val="0"/>
                <w:sz w:val="14"/>
              </w:rPr>
              <w:t>MEASUREMENT_REFERENCE.equipment_class_id</w:t>
            </w:r>
          </w:p>
        </w:tc>
        <w:tc>
          <w:tcPr>
            <w:tcW w:type="dxa" w:w="3744"/>
            <w:vAlign w:val="top"/>
            <w:shd w:fill="F5F8FB"/>
          </w:tcPr>
          <w:p>
            <w:pPr>
              <w:spacing w:after="0" w:before="0"/>
            </w:pPr>
            <w:r/>
            <w:r>
              <w:rPr>
                <w:rFonts w:ascii="Aptos" w:hAnsi="Aptos"/>
                <w:b w:val="0"/>
                <w:sz w:val="14"/>
              </w:rPr>
              <w:t>Measurement reference is reusable guidance, not a case-specific observed measurement.</w:t>
            </w:r>
          </w:p>
        </w:tc>
      </w:tr>
      <w:tr>
        <w:trPr>
          <w:cantSplit/>
        </w:trPr>
        <w:tc>
          <w:tcPr>
            <w:tcW w:type="dxa" w:w="2592"/>
            <w:vAlign w:val="top"/>
          </w:tcPr>
          <w:p>
            <w:pPr>
              <w:spacing w:after="0" w:before="0"/>
            </w:pPr>
            <w:r/>
            <w:r>
              <w:rPr>
                <w:rFonts w:ascii="Aptos" w:hAnsi="Aptos"/>
                <w:b w:val="0"/>
                <w:sz w:val="14"/>
              </w:rPr>
              <w:t>SOURCE_REFERENCE → MEASUREMENT_REFERENCE</w:t>
            </w:r>
          </w:p>
        </w:tc>
        <w:tc>
          <w:tcPr>
            <w:tcW w:type="dxa" w:w="1728"/>
            <w:vAlign w:val="top"/>
          </w:tcPr>
          <w:p>
            <w:pPr>
              <w:spacing w:after="0" w:before="0"/>
            </w:pPr>
            <w:r/>
            <w:r>
              <w:rPr>
                <w:rFonts w:ascii="Aptos" w:hAnsi="Aptos"/>
                <w:b w:val="0"/>
                <w:sz w:val="14"/>
              </w:rPr>
              <w:t>0..1 source per reference</w:t>
            </w:r>
          </w:p>
        </w:tc>
        <w:tc>
          <w:tcPr>
            <w:tcW w:type="dxa" w:w="3024"/>
            <w:vAlign w:val="top"/>
          </w:tcPr>
          <w:p>
            <w:pPr>
              <w:spacing w:after="0" w:before="0"/>
            </w:pPr>
            <w:r/>
            <w:r>
              <w:rPr>
                <w:rFonts w:ascii="Aptos" w:hAnsi="Aptos"/>
                <w:b w:val="0"/>
                <w:sz w:val="14"/>
              </w:rPr>
              <w:t>MEASUREMENT_REFERENCE.source_id nullable</w:t>
            </w:r>
          </w:p>
        </w:tc>
        <w:tc>
          <w:tcPr>
            <w:tcW w:type="dxa" w:w="3744"/>
            <w:vAlign w:val="top"/>
          </w:tcPr>
          <w:p>
            <w:pPr>
              <w:spacing w:after="0" w:before="0"/>
            </w:pPr>
            <w:r/>
            <w:r>
              <w:rPr>
                <w:rFonts w:ascii="Aptos" w:hAnsi="Aptos"/>
                <w:b w:val="0"/>
                <w:sz w:val="14"/>
              </w:rPr>
              <w:t>Retain provenance for measurement guidance where a source is supplied.</w:t>
            </w:r>
          </w:p>
        </w:tc>
      </w:tr>
      <w:tr>
        <w:trPr>
          <w:cantSplit/>
        </w:trPr>
        <w:tc>
          <w:tcPr>
            <w:tcW w:type="dxa" w:w="2592"/>
            <w:vAlign w:val="top"/>
            <w:shd w:fill="F5F8FB"/>
          </w:tcPr>
          <w:p>
            <w:pPr>
              <w:spacing w:after="0" w:before="0"/>
            </w:pPr>
            <w:r/>
            <w:r>
              <w:rPr>
                <w:rFonts w:ascii="Aptos" w:hAnsi="Aptos"/>
                <w:b w:val="0"/>
                <w:sz w:val="14"/>
              </w:rPr>
              <w:t>TROUBLESHOOTING_CASE → CASE_SPARE_PART</w:t>
            </w:r>
          </w:p>
        </w:tc>
        <w:tc>
          <w:tcPr>
            <w:tcW w:type="dxa" w:w="1728"/>
            <w:vAlign w:val="top"/>
            <w:shd w:fill="F5F8FB"/>
          </w:tcPr>
          <w:p>
            <w:pPr>
              <w:spacing w:after="0" w:before="0"/>
            </w:pPr>
            <w:r/>
            <w:r>
              <w:rPr>
                <w:rFonts w:ascii="Aptos" w:hAnsi="Aptos"/>
                <w:b w:val="0"/>
                <w:sz w:val="14"/>
              </w:rPr>
              <w:t>1 : 0..many</w:t>
            </w:r>
          </w:p>
        </w:tc>
        <w:tc>
          <w:tcPr>
            <w:tcW w:type="dxa" w:w="3024"/>
            <w:vAlign w:val="top"/>
            <w:shd w:fill="F5F8FB"/>
          </w:tcPr>
          <w:p>
            <w:pPr>
              <w:spacing w:after="0" w:before="0"/>
            </w:pPr>
            <w:r/>
            <w:r>
              <w:rPr>
                <w:rFonts w:ascii="Aptos" w:hAnsi="Aptos"/>
                <w:b w:val="0"/>
                <w:sz w:val="14"/>
              </w:rPr>
              <w:t>CASE_SPARE_PART.case_id</w:t>
            </w:r>
          </w:p>
        </w:tc>
        <w:tc>
          <w:tcPr>
            <w:tcW w:type="dxa" w:w="3744"/>
            <w:vAlign w:val="top"/>
            <w:shd w:fill="F5F8FB"/>
          </w:tcPr>
          <w:p>
            <w:pPr>
              <w:spacing w:after="0" w:before="0"/>
            </w:pPr>
            <w:r/>
            <w:r>
              <w:rPr>
                <w:rFonts w:ascii="Aptos" w:hAnsi="Aptos"/>
                <w:b w:val="0"/>
                <w:sz w:val="14"/>
              </w:rPr>
              <w:t>Bridge supports multiple spare parts per case.</w:t>
            </w:r>
          </w:p>
        </w:tc>
      </w:tr>
      <w:tr>
        <w:trPr>
          <w:cantSplit/>
        </w:trPr>
        <w:tc>
          <w:tcPr>
            <w:tcW w:type="dxa" w:w="2592"/>
            <w:vAlign w:val="top"/>
          </w:tcPr>
          <w:p>
            <w:pPr>
              <w:spacing w:after="0" w:before="0"/>
            </w:pPr>
            <w:r/>
            <w:r>
              <w:rPr>
                <w:rFonts w:ascii="Aptos" w:hAnsi="Aptos"/>
                <w:b w:val="0"/>
                <w:sz w:val="14"/>
              </w:rPr>
              <w:t>SPARE_PART_REFERENCE → CASE_SPARE_PART</w:t>
            </w:r>
          </w:p>
        </w:tc>
        <w:tc>
          <w:tcPr>
            <w:tcW w:type="dxa" w:w="1728"/>
            <w:vAlign w:val="top"/>
          </w:tcPr>
          <w:p>
            <w:pPr>
              <w:spacing w:after="0" w:before="0"/>
            </w:pPr>
            <w:r/>
            <w:r>
              <w:rPr>
                <w:rFonts w:ascii="Aptos" w:hAnsi="Aptos"/>
                <w:b w:val="0"/>
                <w:sz w:val="14"/>
              </w:rPr>
              <w:t>1 : 0..many</w:t>
            </w:r>
          </w:p>
        </w:tc>
        <w:tc>
          <w:tcPr>
            <w:tcW w:type="dxa" w:w="3024"/>
            <w:vAlign w:val="top"/>
          </w:tcPr>
          <w:p>
            <w:pPr>
              <w:spacing w:after="0" w:before="0"/>
            </w:pPr>
            <w:r/>
            <w:r>
              <w:rPr>
                <w:rFonts w:ascii="Aptos" w:hAnsi="Aptos"/>
                <w:b w:val="0"/>
                <w:sz w:val="14"/>
              </w:rPr>
              <w:t>CASE_SPARE_PART.spare_part_id</w:t>
            </w:r>
          </w:p>
        </w:tc>
        <w:tc>
          <w:tcPr>
            <w:tcW w:type="dxa" w:w="3744"/>
            <w:vAlign w:val="top"/>
          </w:tcPr>
          <w:p>
            <w:pPr>
              <w:spacing w:after="0" w:before="0"/>
            </w:pPr>
            <w:r/>
            <w:r>
              <w:rPr>
                <w:rFonts w:ascii="Aptos" w:hAnsi="Aptos"/>
                <w:b w:val="0"/>
                <w:sz w:val="14"/>
              </w:rPr>
              <w:t>Spare part may be referenced by multiple cases.</w:t>
            </w:r>
          </w:p>
        </w:tc>
      </w:tr>
      <w:tr>
        <w:trPr>
          <w:cantSplit/>
        </w:trPr>
        <w:tc>
          <w:tcPr>
            <w:tcW w:type="dxa" w:w="2592"/>
            <w:vAlign w:val="top"/>
            <w:shd w:fill="F5F8FB"/>
          </w:tcPr>
          <w:p>
            <w:pPr>
              <w:spacing w:after="0" w:before="0"/>
            </w:pPr>
            <w:r/>
            <w:r>
              <w:rPr>
                <w:rFonts w:ascii="Aptos" w:hAnsi="Aptos"/>
                <w:b w:val="0"/>
                <w:sz w:val="14"/>
              </w:rPr>
              <w:t>TROUBLESHOOTING_CASE → CASE_SAFETY_PROCEDURE</w:t>
            </w:r>
          </w:p>
        </w:tc>
        <w:tc>
          <w:tcPr>
            <w:tcW w:type="dxa" w:w="1728"/>
            <w:vAlign w:val="top"/>
            <w:shd w:fill="F5F8FB"/>
          </w:tcPr>
          <w:p>
            <w:pPr>
              <w:spacing w:after="0" w:before="0"/>
            </w:pPr>
            <w:r/>
            <w:r>
              <w:rPr>
                <w:rFonts w:ascii="Aptos" w:hAnsi="Aptos"/>
                <w:b w:val="0"/>
                <w:sz w:val="14"/>
              </w:rPr>
              <w:t>1 : 0..many</w:t>
            </w:r>
          </w:p>
        </w:tc>
        <w:tc>
          <w:tcPr>
            <w:tcW w:type="dxa" w:w="3024"/>
            <w:vAlign w:val="top"/>
            <w:shd w:fill="F5F8FB"/>
          </w:tcPr>
          <w:p>
            <w:pPr>
              <w:spacing w:after="0" w:before="0"/>
            </w:pPr>
            <w:r/>
            <w:r>
              <w:rPr>
                <w:rFonts w:ascii="Aptos" w:hAnsi="Aptos"/>
                <w:b w:val="0"/>
                <w:sz w:val="14"/>
              </w:rPr>
              <w:t>CASE_SAFETY_PROCEDURE.case_id</w:t>
            </w:r>
          </w:p>
        </w:tc>
        <w:tc>
          <w:tcPr>
            <w:tcW w:type="dxa" w:w="3744"/>
            <w:vAlign w:val="top"/>
            <w:shd w:fill="F5F8FB"/>
          </w:tcPr>
          <w:p>
            <w:pPr>
              <w:spacing w:after="0" w:before="0"/>
            </w:pPr>
            <w:r/>
            <w:r>
              <w:rPr>
                <w:rFonts w:ascii="Aptos" w:hAnsi="Aptos"/>
                <w:b w:val="0"/>
                <w:sz w:val="14"/>
              </w:rPr>
              <w:t>Bridge links each case to reusable safety procedures.</w:t>
            </w:r>
          </w:p>
        </w:tc>
      </w:tr>
      <w:tr>
        <w:trPr>
          <w:cantSplit/>
        </w:trPr>
        <w:tc>
          <w:tcPr>
            <w:tcW w:type="dxa" w:w="2592"/>
            <w:vAlign w:val="top"/>
          </w:tcPr>
          <w:p>
            <w:pPr>
              <w:spacing w:after="0" w:before="0"/>
            </w:pPr>
            <w:r/>
            <w:r>
              <w:rPr>
                <w:rFonts w:ascii="Aptos" w:hAnsi="Aptos"/>
                <w:b w:val="0"/>
                <w:sz w:val="14"/>
              </w:rPr>
              <w:t>SAFETY_PROCEDURE → CASE_SAFETY_PROCEDURE</w:t>
            </w:r>
          </w:p>
        </w:tc>
        <w:tc>
          <w:tcPr>
            <w:tcW w:type="dxa" w:w="1728"/>
            <w:vAlign w:val="top"/>
          </w:tcPr>
          <w:p>
            <w:pPr>
              <w:spacing w:after="0" w:before="0"/>
            </w:pPr>
            <w:r/>
            <w:r>
              <w:rPr>
                <w:rFonts w:ascii="Aptos" w:hAnsi="Aptos"/>
                <w:b w:val="0"/>
                <w:sz w:val="14"/>
              </w:rPr>
              <w:t>1 : 0..many</w:t>
            </w:r>
          </w:p>
        </w:tc>
        <w:tc>
          <w:tcPr>
            <w:tcW w:type="dxa" w:w="3024"/>
            <w:vAlign w:val="top"/>
          </w:tcPr>
          <w:p>
            <w:pPr>
              <w:spacing w:after="0" w:before="0"/>
            </w:pPr>
            <w:r/>
            <w:r>
              <w:rPr>
                <w:rFonts w:ascii="Aptos" w:hAnsi="Aptos"/>
                <w:b w:val="0"/>
                <w:sz w:val="14"/>
              </w:rPr>
              <w:t>CASE_SAFETY_PROCEDURE.safety_procedure_id</w:t>
            </w:r>
          </w:p>
        </w:tc>
        <w:tc>
          <w:tcPr>
            <w:tcW w:type="dxa" w:w="3744"/>
            <w:vAlign w:val="top"/>
          </w:tcPr>
          <w:p>
            <w:pPr>
              <w:spacing w:after="0" w:before="0"/>
            </w:pPr>
            <w:r/>
            <w:r>
              <w:rPr>
                <w:rFonts w:ascii="Aptos" w:hAnsi="Aptos"/>
                <w:b w:val="0"/>
                <w:sz w:val="14"/>
              </w:rPr>
              <w:t>A safety procedure may apply to multiple cases.</w:t>
            </w:r>
          </w:p>
        </w:tc>
      </w:tr>
      <w:tr>
        <w:trPr>
          <w:cantSplit/>
        </w:trPr>
        <w:tc>
          <w:tcPr>
            <w:tcW w:type="dxa" w:w="2592"/>
            <w:vAlign w:val="top"/>
            <w:shd w:fill="F5F8FB"/>
          </w:tcPr>
          <w:p>
            <w:pPr>
              <w:spacing w:after="0" w:before="0"/>
            </w:pPr>
            <w:r/>
            <w:r>
              <w:rPr>
                <w:rFonts w:ascii="Aptos" w:hAnsi="Aptos"/>
                <w:b w:val="0"/>
                <w:sz w:val="14"/>
              </w:rPr>
              <w:t>SOURCE_REFERENCE → SPARE_PART_REFERENCE</w:t>
            </w:r>
          </w:p>
        </w:tc>
        <w:tc>
          <w:tcPr>
            <w:tcW w:type="dxa" w:w="1728"/>
            <w:vAlign w:val="top"/>
            <w:shd w:fill="F5F8FB"/>
          </w:tcPr>
          <w:p>
            <w:pPr>
              <w:spacing w:after="0" w:before="0"/>
            </w:pPr>
            <w:r/>
            <w:r>
              <w:rPr>
                <w:rFonts w:ascii="Aptos" w:hAnsi="Aptos"/>
                <w:b w:val="0"/>
                <w:sz w:val="14"/>
              </w:rPr>
              <w:t>0..1 source per part</w:t>
            </w:r>
          </w:p>
        </w:tc>
        <w:tc>
          <w:tcPr>
            <w:tcW w:type="dxa" w:w="3024"/>
            <w:vAlign w:val="top"/>
            <w:shd w:fill="F5F8FB"/>
          </w:tcPr>
          <w:p>
            <w:pPr>
              <w:spacing w:after="0" w:before="0"/>
            </w:pPr>
            <w:r/>
            <w:r>
              <w:rPr>
                <w:rFonts w:ascii="Aptos" w:hAnsi="Aptos"/>
                <w:b w:val="0"/>
                <w:sz w:val="14"/>
              </w:rPr>
              <w:t>SPARE_PART_REFERENCE.source_id nullable</w:t>
            </w:r>
          </w:p>
        </w:tc>
        <w:tc>
          <w:tcPr>
            <w:tcW w:type="dxa" w:w="3744"/>
            <w:vAlign w:val="top"/>
            <w:shd w:fill="F5F8FB"/>
          </w:tcPr>
          <w:p>
            <w:pPr>
              <w:spacing w:after="0" w:before="0"/>
            </w:pPr>
            <w:r/>
            <w:r>
              <w:rPr>
                <w:rFonts w:ascii="Aptos" w:hAnsi="Aptos"/>
                <w:b w:val="0"/>
                <w:sz w:val="14"/>
              </w:rPr>
              <w:t>Preserve part-reference provenance when available.</w:t>
            </w:r>
          </w:p>
        </w:tc>
      </w:tr>
      <w:tr>
        <w:trPr>
          <w:cantSplit/>
        </w:trPr>
        <w:tc>
          <w:tcPr>
            <w:tcW w:type="dxa" w:w="2592"/>
            <w:vAlign w:val="top"/>
          </w:tcPr>
          <w:p>
            <w:pPr>
              <w:spacing w:after="0" w:before="0"/>
            </w:pPr>
            <w:r/>
            <w:r>
              <w:rPr>
                <w:rFonts w:ascii="Aptos" w:hAnsi="Aptos"/>
                <w:b w:val="0"/>
                <w:sz w:val="14"/>
              </w:rPr>
              <w:t>SOURCE_REFERENCE → SAFETY_PROCEDURE</w:t>
            </w:r>
          </w:p>
        </w:tc>
        <w:tc>
          <w:tcPr>
            <w:tcW w:type="dxa" w:w="1728"/>
            <w:vAlign w:val="top"/>
          </w:tcPr>
          <w:p>
            <w:pPr>
              <w:spacing w:after="0" w:before="0"/>
            </w:pPr>
            <w:r/>
            <w:r>
              <w:rPr>
                <w:rFonts w:ascii="Aptos" w:hAnsi="Aptos"/>
                <w:b w:val="0"/>
                <w:sz w:val="14"/>
              </w:rPr>
              <w:t>0..1 source per procedure</w:t>
            </w:r>
          </w:p>
        </w:tc>
        <w:tc>
          <w:tcPr>
            <w:tcW w:type="dxa" w:w="3024"/>
            <w:vAlign w:val="top"/>
          </w:tcPr>
          <w:p>
            <w:pPr>
              <w:spacing w:after="0" w:before="0"/>
            </w:pPr>
            <w:r/>
            <w:r>
              <w:rPr>
                <w:rFonts w:ascii="Aptos" w:hAnsi="Aptos"/>
                <w:b w:val="0"/>
                <w:sz w:val="14"/>
              </w:rPr>
              <w:t>SAFETY_PROCEDURE.source_id nullable</w:t>
            </w:r>
          </w:p>
        </w:tc>
        <w:tc>
          <w:tcPr>
            <w:tcW w:type="dxa" w:w="3744"/>
            <w:vAlign w:val="top"/>
          </w:tcPr>
          <w:p>
            <w:pPr>
              <w:spacing w:after="0" w:before="0"/>
            </w:pPr>
            <w:r/>
            <w:r>
              <w:rPr>
                <w:rFonts w:ascii="Aptos" w:hAnsi="Aptos"/>
                <w:b w:val="0"/>
                <w:sz w:val="14"/>
              </w:rPr>
              <w:t>Prefer a traceable source for each reusable safety requirement.</w:t>
            </w:r>
          </w:p>
        </w:tc>
      </w:tr>
    </w:tbl>
    <w:p>
      <w:pPr>
        <w:spacing w:after="0"/>
      </w:pPr>
    </w:p>
    <w:p>
      <w:pPr>
        <w:pStyle w:val="Heading1"/>
        <w:keepNext/>
      </w:pPr>
      <w:r>
        <w:t>6. Primary keys, foreign keys and integrity rules</w:t>
      </w:r>
    </w:p>
    <w:p>
      <w:pPr>
        <w:pStyle w:val="ListBullet"/>
        <w:spacing w:after="40"/>
      </w:pPr>
      <w:r>
        <w:t>Use stable source case_id values as TROUBLESHOOTING_CASE primary keys for this seed corpus; do not regenerate IDs on each import.</w:t>
      </w:r>
    </w:p>
    <w:p>
      <w:pPr>
        <w:pStyle w:val="ListBullet"/>
        <w:spacing w:after="40"/>
      </w:pPr>
      <w:r>
        <w:t>Use diagnostic_step_id as DIAGNOSTIC_STEP primary key and enforce UNIQUE(case_id, step_number). A diagnostic step must reference an existing case.</w:t>
      </w:r>
    </w:p>
    <w:p>
      <w:pPr>
        <w:pStyle w:val="ListBullet"/>
        <w:spacing w:after="40"/>
      </w:pPr>
      <w:r>
        <w:t>Use controlled EQUIPMENT_CLASS records; enforce uniqueness on equipment_class_id and, after domain review, on canonical class_name.</w:t>
      </w:r>
    </w:p>
    <w:p>
      <w:pPr>
        <w:pStyle w:val="ListBullet"/>
        <w:spacing w:after="40"/>
      </w:pPr>
      <w:r>
        <w:t>Use ASSET_NODE.parent_asset_id as a self-referencing foreign key. Validate allowed parent-child levels in a constraint or trigger only after Group 1 confirms the hierarchy contract.</w:t>
      </w:r>
    </w:p>
    <w:p>
      <w:pPr>
        <w:pStyle w:val="ListBullet"/>
        <w:spacing w:after="40"/>
      </w:pPr>
      <w:r>
        <w:t>Keep taxonomy_code and failure_mode_id as distinct foreign keys. The project vocabulary ID is not automatically an ISO 14224 code.</w:t>
      </w:r>
    </w:p>
    <w:p>
      <w:pPr>
        <w:pStyle w:val="ListBullet"/>
        <w:spacing w:after="40"/>
      </w:pPr>
      <w:r>
        <w:t>Allow a nullable taxonomy target only when mapping_status and a documented gap/review reason explain the missing link; do not silently discard the gap.</w:t>
      </w:r>
    </w:p>
    <w:p>
      <w:pPr>
        <w:pStyle w:val="ListBullet"/>
        <w:spacing w:after="40"/>
      </w:pPr>
      <w:r>
        <w:t>Use bridge tables for case-to-source, case-to-spare-part and case-to-safety-procedure many-to-many relationships. Composite primary keys should prevent duplicate links.</w:t>
      </w:r>
    </w:p>
    <w:p>
      <w:pPr>
        <w:pStyle w:val="ListBullet"/>
        <w:spacing w:after="40"/>
      </w:pPr>
      <w:r>
        <w:t>Model review as dated CASE_VERIFICATION events so later reviews do not overwrite prior decisions. A blank reviewer/date and PENDING status is not approval.</w:t>
      </w:r>
    </w:p>
    <w:p>
      <w:pPr>
        <w:pStyle w:val="ListBullet"/>
        <w:spacing w:after="40"/>
      </w:pPr>
      <w:r>
        <w:t>Keep criticality and FMEA scoring method versions with each assessment. Store the calculated RPN only after the rating scales and calculation rule are approved.</w:t>
      </w:r>
    </w:p>
    <w:p>
      <w:pPr>
        <w:pStyle w:val="ListBullet"/>
        <w:spacing w:after="40"/>
      </w:pPr>
      <w:r>
        <w:t>Apply ON DELETE RESTRICT for referenced domain/master records by default. Case-child records may use ON DELETE CASCADE only where the team explicitly agrees that child records have no independent retention requirement.</w:t>
      </w:r>
    </w:p>
    <w:p>
      <w:pPr>
        <w:pStyle w:val="ListBullet"/>
        <w:spacing w:after="40"/>
      </w:pPr>
      <w:r>
        <w:t>No numeric alarm threshold should be inferred from generic text; thresholds require an approved OEM specification or site baseline and applicability conditions.</w:t>
      </w:r>
    </w:p>
    <w:p>
      <w:pPr>
        <w:pStyle w:val="Heading1"/>
        <w:keepNext/>
      </w:pPr>
      <w:r>
        <w:t>7. Source-to-entity mapping</w:t>
      </w:r>
    </w:p>
    <w:p>
      <w:r>
        <w:t>The accompanying editable workbook contains the complete field-by-field mapping for all Import_View columns and relevant fields from Diagnostic_Steps, Sources, Verification_Records, Measurement_Reference, Spare_Parts_Reference and Safety_Procedures. The summary below shows the primary mappings.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744"/>
            <w:shd w:fill="17365D"/>
            <w:vAlign w:val="top"/>
          </w:tcPr>
          <w:p>
            <w:pPr>
              <w:spacing w:after="0" w:before="0"/>
            </w:pPr>
            <w:r/>
            <w:r>
              <w:rPr>
                <w:rFonts w:ascii="Aptos" w:hAnsi="Aptos"/>
                <w:b/>
                <w:color w:val="FFFFFF"/>
                <w:sz w:val="15"/>
              </w:rPr>
              <w:t>Workbook field(s)</w:t>
            </w:r>
          </w:p>
        </w:tc>
        <w:tc>
          <w:tcPr>
            <w:tcW w:type="dxa" w:w="3744"/>
            <w:shd w:fill="17365D"/>
            <w:vAlign w:val="top"/>
          </w:tcPr>
          <w:p>
            <w:pPr>
              <w:spacing w:after="0" w:before="0"/>
            </w:pPr>
            <w:r/>
            <w:r>
              <w:rPr>
                <w:rFonts w:ascii="Aptos" w:hAnsi="Aptos"/>
                <w:b/>
                <w:color w:val="FFFFFF"/>
                <w:sz w:val="15"/>
              </w:rPr>
              <w:t>Destination</w:t>
            </w:r>
          </w:p>
        </w:tc>
        <w:tc>
          <w:tcPr>
            <w:tcW w:type="dxa" w:w="3600"/>
            <w:shd w:fill="17365D"/>
            <w:vAlign w:val="top"/>
          </w:tcPr>
          <w:p>
            <w:pPr>
              <w:spacing w:after="0" w:before="0"/>
            </w:pPr>
            <w:r/>
            <w:r>
              <w:rPr>
                <w:rFonts w:ascii="Aptos" w:hAnsi="Aptos"/>
                <w:b/>
                <w:color w:val="FFFFFF"/>
                <w:sz w:val="15"/>
              </w:rPr>
              <w:t>Mapping rule</w:t>
            </w:r>
          </w:p>
        </w:tc>
      </w:tr>
      <w:tr>
        <w:trPr>
          <w:cantSplit/>
        </w:trPr>
        <w:tc>
          <w:tcPr>
            <w:tcW w:type="dxa" w:w="3744"/>
            <w:vAlign w:val="top"/>
          </w:tcPr>
          <w:p>
            <w:pPr>
              <w:spacing w:after="0" w:before="0"/>
            </w:pPr>
            <w:r/>
            <w:r>
              <w:rPr>
                <w:rFonts w:ascii="Aptos" w:hAnsi="Aptos"/>
                <w:b w:val="0"/>
                <w:sz w:val="15"/>
              </w:rPr>
              <w:t>Import_View.case_id</w:t>
            </w:r>
          </w:p>
        </w:tc>
        <w:tc>
          <w:tcPr>
            <w:tcW w:type="dxa" w:w="3744"/>
            <w:vAlign w:val="top"/>
          </w:tcPr>
          <w:p>
            <w:pPr>
              <w:spacing w:after="0" w:before="0"/>
            </w:pPr>
            <w:r/>
            <w:r>
              <w:rPr>
                <w:rFonts w:ascii="Aptos" w:hAnsi="Aptos"/>
                <w:b w:val="0"/>
                <w:sz w:val="15"/>
              </w:rPr>
              <w:t>TROUBLESHOOTING_CASE.case_id</w:t>
            </w:r>
          </w:p>
        </w:tc>
        <w:tc>
          <w:tcPr>
            <w:tcW w:type="dxa" w:w="3600"/>
            <w:vAlign w:val="top"/>
          </w:tcPr>
          <w:p>
            <w:pPr>
              <w:spacing w:after="0" w:before="0"/>
            </w:pPr>
            <w:r/>
            <w:r>
              <w:rPr>
                <w:rFonts w:ascii="Aptos" w:hAnsi="Aptos"/>
                <w:b w:val="0"/>
                <w:sz w:val="15"/>
              </w:rPr>
              <w:t>Direct; preserve source ID.</w:t>
            </w:r>
          </w:p>
        </w:tc>
      </w:tr>
      <w:tr>
        <w:trPr>
          <w:cantSplit/>
        </w:trPr>
        <w:tc>
          <w:tcPr>
            <w:tcW w:type="dxa" w:w="3744"/>
            <w:vAlign w:val="top"/>
            <w:shd w:fill="F5F8FB"/>
          </w:tcPr>
          <w:p>
            <w:pPr>
              <w:spacing w:after="0" w:before="0"/>
            </w:pPr>
            <w:r/>
            <w:r>
              <w:rPr>
                <w:rFonts w:ascii="Aptos" w:hAnsi="Aptos"/>
                <w:b w:val="0"/>
                <w:sz w:val="15"/>
              </w:rPr>
              <w:t>equipment_class / equipment_class_id</w:t>
            </w:r>
          </w:p>
        </w:tc>
        <w:tc>
          <w:tcPr>
            <w:tcW w:type="dxa" w:w="3744"/>
            <w:vAlign w:val="top"/>
            <w:shd w:fill="F5F8FB"/>
          </w:tcPr>
          <w:p>
            <w:pPr>
              <w:spacing w:after="0" w:before="0"/>
            </w:pPr>
            <w:r/>
            <w:r>
              <w:rPr>
                <w:rFonts w:ascii="Aptos" w:hAnsi="Aptos"/>
                <w:b w:val="0"/>
                <w:sz w:val="15"/>
              </w:rPr>
              <w:t>EQUIPMENT_CLASS</w:t>
            </w:r>
          </w:p>
        </w:tc>
        <w:tc>
          <w:tcPr>
            <w:tcW w:type="dxa" w:w="3600"/>
            <w:vAlign w:val="top"/>
            <w:shd w:fill="F5F8FB"/>
          </w:tcPr>
          <w:p>
            <w:pPr>
              <w:spacing w:after="0" w:before="0"/>
            </w:pPr>
            <w:r/>
            <w:r>
              <w:rPr>
                <w:rFonts w:ascii="Aptos" w:hAnsi="Aptos"/>
                <w:b w:val="0"/>
                <w:sz w:val="15"/>
              </w:rPr>
              <w:t>Controlled lookup; label and ID must agree.</w:t>
            </w:r>
          </w:p>
        </w:tc>
      </w:tr>
      <w:tr>
        <w:trPr>
          <w:cantSplit/>
        </w:trPr>
        <w:tc>
          <w:tcPr>
            <w:tcW w:type="dxa" w:w="3744"/>
            <w:vAlign w:val="top"/>
          </w:tcPr>
          <w:p>
            <w:pPr>
              <w:spacing w:after="0" w:before="0"/>
            </w:pPr>
            <w:r/>
            <w:r>
              <w:rPr>
                <w:rFonts w:ascii="Aptos" w:hAnsi="Aptos"/>
                <w:b w:val="0"/>
                <w:sz w:val="15"/>
              </w:rPr>
              <w:t>symptom_category / symptom_reported_hinglish / symptom_structured</w:t>
            </w:r>
          </w:p>
        </w:tc>
        <w:tc>
          <w:tcPr>
            <w:tcW w:type="dxa" w:w="3744"/>
            <w:vAlign w:val="top"/>
          </w:tcPr>
          <w:p>
            <w:pPr>
              <w:spacing w:after="0" w:before="0"/>
            </w:pPr>
            <w:r/>
            <w:r>
              <w:rPr>
                <w:rFonts w:ascii="Aptos" w:hAnsi="Aptos"/>
                <w:b w:val="0"/>
                <w:sz w:val="15"/>
              </w:rPr>
              <w:t>CASE_SYMPTOM</w:t>
            </w:r>
          </w:p>
        </w:tc>
        <w:tc>
          <w:tcPr>
            <w:tcW w:type="dxa" w:w="3600"/>
            <w:vAlign w:val="top"/>
          </w:tcPr>
          <w:p>
            <w:pPr>
              <w:spacing w:after="0" w:before="0"/>
            </w:pPr>
            <w:r/>
            <w:r>
              <w:rPr>
                <w:rFonts w:ascii="Aptos" w:hAnsi="Aptos"/>
                <w:b w:val="0"/>
                <w:sz w:val="15"/>
              </w:rPr>
              <w:t>Retain original symptom text and structured description.</w:t>
            </w:r>
          </w:p>
        </w:tc>
      </w:tr>
      <w:tr>
        <w:trPr>
          <w:cantSplit/>
        </w:trPr>
        <w:tc>
          <w:tcPr>
            <w:tcW w:type="dxa" w:w="3744"/>
            <w:vAlign w:val="top"/>
            <w:shd w:fill="F5F8FB"/>
          </w:tcPr>
          <w:p>
            <w:pPr>
              <w:spacing w:after="0" w:before="0"/>
            </w:pPr>
            <w:r/>
            <w:r>
              <w:rPr>
                <w:rFonts w:ascii="Aptos" w:hAnsi="Aptos"/>
                <w:b w:val="0"/>
                <w:sz w:val="15"/>
              </w:rPr>
              <w:t>Tier 1 / Tier 2 / Tier 3 narrative fields</w:t>
            </w:r>
          </w:p>
        </w:tc>
        <w:tc>
          <w:tcPr>
            <w:tcW w:type="dxa" w:w="3744"/>
            <w:vAlign w:val="top"/>
            <w:shd w:fill="F5F8FB"/>
          </w:tcPr>
          <w:p>
            <w:pPr>
              <w:spacing w:after="0" w:before="0"/>
            </w:pPr>
            <w:r/>
            <w:r>
              <w:rPr>
                <w:rFonts w:ascii="Aptos" w:hAnsi="Aptos"/>
                <w:b w:val="0"/>
                <w:sz w:val="15"/>
              </w:rPr>
              <w:t>TROUBLESHOOTING_CASE and DIAGNOSTIC_STEP</w:t>
            </w:r>
          </w:p>
        </w:tc>
        <w:tc>
          <w:tcPr>
            <w:tcW w:type="dxa" w:w="3600"/>
            <w:vAlign w:val="top"/>
            <w:shd w:fill="F5F8FB"/>
          </w:tcPr>
          <w:p>
            <w:pPr>
              <w:spacing w:after="0" w:before="0"/>
            </w:pPr>
            <w:r/>
            <w:r>
              <w:rPr>
                <w:rFonts w:ascii="Aptos" w:hAnsi="Aptos"/>
                <w:b w:val="0"/>
                <w:sz w:val="15"/>
              </w:rPr>
              <w:t>Keep case summary and ordered step detail distinct.</w:t>
            </w:r>
          </w:p>
        </w:tc>
      </w:tr>
      <w:tr>
        <w:trPr>
          <w:cantSplit/>
        </w:trPr>
        <w:tc>
          <w:tcPr>
            <w:tcW w:type="dxa" w:w="3744"/>
            <w:vAlign w:val="top"/>
          </w:tcPr>
          <w:p>
            <w:pPr>
              <w:spacing w:after="0" w:before="0"/>
            </w:pPr>
            <w:r/>
            <w:r>
              <w:rPr>
                <w:rFonts w:ascii="Aptos" w:hAnsi="Aptos"/>
                <w:b w:val="0"/>
                <w:sz w:val="15"/>
              </w:rPr>
              <w:t>taxonomy_code / fm_id_vocab / mapping_status</w:t>
            </w:r>
          </w:p>
        </w:tc>
        <w:tc>
          <w:tcPr>
            <w:tcW w:type="dxa" w:w="3744"/>
            <w:vAlign w:val="top"/>
          </w:tcPr>
          <w:p>
            <w:pPr>
              <w:spacing w:after="0" w:before="0"/>
            </w:pPr>
            <w:r/>
            <w:r>
              <w:rPr>
                <w:rFonts w:ascii="Aptos" w:hAnsi="Aptos"/>
                <w:b w:val="0"/>
                <w:sz w:val="15"/>
              </w:rPr>
              <w:t>CASE_FAILURE_MAPPING + taxonomy/vocabulary lookups</w:t>
            </w:r>
          </w:p>
        </w:tc>
        <w:tc>
          <w:tcPr>
            <w:tcW w:type="dxa" w:w="3600"/>
            <w:vAlign w:val="top"/>
          </w:tcPr>
          <w:p>
            <w:pPr>
              <w:spacing w:after="0" w:before="0"/>
            </w:pPr>
            <w:r/>
            <w:r>
              <w:rPr>
                <w:rFonts w:ascii="Aptos" w:hAnsi="Aptos"/>
                <w:b w:val="0"/>
                <w:sz w:val="15"/>
              </w:rPr>
              <w:t>Keep mapping status, gap and review notes.</w:t>
            </w:r>
          </w:p>
        </w:tc>
      </w:tr>
      <w:tr>
        <w:trPr>
          <w:cantSplit/>
        </w:trPr>
        <w:tc>
          <w:tcPr>
            <w:tcW w:type="dxa" w:w="3744"/>
            <w:vAlign w:val="top"/>
            <w:shd w:fill="F5F8FB"/>
          </w:tcPr>
          <w:p>
            <w:pPr>
              <w:spacing w:after="0" w:before="0"/>
            </w:pPr>
            <w:r/>
            <w:r>
              <w:rPr>
                <w:rFonts w:ascii="Aptos" w:hAnsi="Aptos"/>
                <w:b w:val="0"/>
                <w:sz w:val="15"/>
              </w:rPr>
              <w:t>source_ref_ids + Sources sheet</w:t>
            </w:r>
          </w:p>
        </w:tc>
        <w:tc>
          <w:tcPr>
            <w:tcW w:type="dxa" w:w="3744"/>
            <w:vAlign w:val="top"/>
            <w:shd w:fill="F5F8FB"/>
          </w:tcPr>
          <w:p>
            <w:pPr>
              <w:spacing w:after="0" w:before="0"/>
            </w:pPr>
            <w:r/>
            <w:r>
              <w:rPr>
                <w:rFonts w:ascii="Aptos" w:hAnsi="Aptos"/>
                <w:b w:val="0"/>
                <w:sz w:val="15"/>
              </w:rPr>
              <w:t>CASE_SOURCE + SOURCE_REFERENCE</w:t>
            </w:r>
          </w:p>
        </w:tc>
        <w:tc>
          <w:tcPr>
            <w:tcW w:type="dxa" w:w="3600"/>
            <w:vAlign w:val="top"/>
            <w:shd w:fill="F5F8FB"/>
          </w:tcPr>
          <w:p>
            <w:pPr>
              <w:spacing w:after="0" w:before="0"/>
            </w:pPr>
            <w:r/>
            <w:r>
              <w:rPr>
                <w:rFonts w:ascii="Aptos" w:hAnsi="Aptos"/>
                <w:b w:val="0"/>
                <w:sz w:val="15"/>
              </w:rPr>
              <w:t>Preserve reference identity and verification status.</w:t>
            </w:r>
          </w:p>
        </w:tc>
      </w:tr>
      <w:tr>
        <w:trPr>
          <w:cantSplit/>
        </w:trPr>
        <w:tc>
          <w:tcPr>
            <w:tcW w:type="dxa" w:w="3744"/>
            <w:vAlign w:val="top"/>
          </w:tcPr>
          <w:p>
            <w:pPr>
              <w:spacing w:after="0" w:before="0"/>
            </w:pPr>
            <w:r/>
            <w:r>
              <w:rPr>
                <w:rFonts w:ascii="Aptos" w:hAnsi="Aptos"/>
                <w:b w:val="0"/>
                <w:sz w:val="15"/>
              </w:rPr>
              <w:t>Diagnostic_Steps</w:t>
            </w:r>
          </w:p>
        </w:tc>
        <w:tc>
          <w:tcPr>
            <w:tcW w:type="dxa" w:w="3744"/>
            <w:vAlign w:val="top"/>
          </w:tcPr>
          <w:p>
            <w:pPr>
              <w:spacing w:after="0" w:before="0"/>
            </w:pPr>
            <w:r/>
            <w:r>
              <w:rPr>
                <w:rFonts w:ascii="Aptos" w:hAnsi="Aptos"/>
                <w:b w:val="0"/>
                <w:sz w:val="15"/>
              </w:rPr>
              <w:t>DIAGNOSTIC_STEP</w:t>
            </w:r>
          </w:p>
        </w:tc>
        <w:tc>
          <w:tcPr>
            <w:tcW w:type="dxa" w:w="3600"/>
            <w:vAlign w:val="top"/>
          </w:tcPr>
          <w:p>
            <w:pPr>
              <w:spacing w:after="0" w:before="0"/>
            </w:pPr>
            <w:r/>
            <w:r>
              <w:rPr>
                <w:rFonts w:ascii="Aptos" w:hAnsi="Aptos"/>
                <w:b w:val="0"/>
                <w:sz w:val="15"/>
              </w:rPr>
              <w:t>Transform source labels to consistent snake_case fields and enforce step ordering.</w:t>
            </w:r>
          </w:p>
        </w:tc>
      </w:tr>
      <w:tr>
        <w:trPr>
          <w:cantSplit/>
        </w:trPr>
        <w:tc>
          <w:tcPr>
            <w:tcW w:type="dxa" w:w="3744"/>
            <w:vAlign w:val="top"/>
            <w:shd w:fill="F5F8FB"/>
          </w:tcPr>
          <w:p>
            <w:pPr>
              <w:spacing w:after="0" w:before="0"/>
            </w:pPr>
            <w:r/>
            <w:r>
              <w:rPr>
                <w:rFonts w:ascii="Aptos" w:hAnsi="Aptos"/>
                <w:b w:val="0"/>
                <w:sz w:val="15"/>
              </w:rPr>
              <w:t>Verification_Records</w:t>
            </w:r>
          </w:p>
        </w:tc>
        <w:tc>
          <w:tcPr>
            <w:tcW w:type="dxa" w:w="3744"/>
            <w:vAlign w:val="top"/>
            <w:shd w:fill="F5F8FB"/>
          </w:tcPr>
          <w:p>
            <w:pPr>
              <w:spacing w:after="0" w:before="0"/>
            </w:pPr>
            <w:r/>
            <w:r>
              <w:rPr>
                <w:rFonts w:ascii="Aptos" w:hAnsi="Aptos"/>
                <w:b w:val="0"/>
                <w:sz w:val="15"/>
              </w:rPr>
              <w:t>CASE_VERIFICATION</w:t>
            </w:r>
          </w:p>
        </w:tc>
        <w:tc>
          <w:tcPr>
            <w:tcW w:type="dxa" w:w="3600"/>
            <w:vAlign w:val="top"/>
            <w:shd w:fill="F5F8FB"/>
          </w:tcPr>
          <w:p>
            <w:pPr>
              <w:spacing w:after="0" w:before="0"/>
            </w:pPr>
            <w:r/>
            <w:r>
              <w:rPr>
                <w:rFonts w:ascii="Aptos" w:hAnsi="Aptos"/>
                <w:b w:val="0"/>
                <w:sz w:val="15"/>
              </w:rPr>
              <w:t>Load pending states as pending; never fabricate reviewer approval.</w:t>
            </w:r>
          </w:p>
        </w:tc>
      </w:tr>
      <w:tr>
        <w:trPr>
          <w:cantSplit/>
        </w:trPr>
        <w:tc>
          <w:tcPr>
            <w:tcW w:type="dxa" w:w="3744"/>
            <w:vAlign w:val="top"/>
          </w:tcPr>
          <w:p>
            <w:pPr>
              <w:spacing w:after="0" w:before="0"/>
            </w:pPr>
            <w:r/>
            <w:r>
              <w:rPr>
                <w:rFonts w:ascii="Aptos" w:hAnsi="Aptos"/>
                <w:b w:val="0"/>
                <w:sz w:val="15"/>
              </w:rPr>
              <w:t>Measurement_Reference</w:t>
            </w:r>
          </w:p>
        </w:tc>
        <w:tc>
          <w:tcPr>
            <w:tcW w:type="dxa" w:w="3744"/>
            <w:vAlign w:val="top"/>
          </w:tcPr>
          <w:p>
            <w:pPr>
              <w:spacing w:after="0" w:before="0"/>
            </w:pPr>
            <w:r/>
            <w:r>
              <w:rPr>
                <w:rFonts w:ascii="Aptos" w:hAnsi="Aptos"/>
                <w:b w:val="0"/>
                <w:sz w:val="15"/>
              </w:rPr>
              <w:t>MEASUREMENT_REFERENCE</w:t>
            </w:r>
          </w:p>
        </w:tc>
        <w:tc>
          <w:tcPr>
            <w:tcW w:type="dxa" w:w="3600"/>
            <w:vAlign w:val="top"/>
          </w:tcPr>
          <w:p>
            <w:pPr>
              <w:spacing w:after="0" w:before="0"/>
            </w:pPr>
            <w:r/>
            <w:r>
              <w:rPr>
                <w:rFonts w:ascii="Aptos" w:hAnsi="Aptos"/>
                <w:b w:val="0"/>
                <w:sz w:val="15"/>
              </w:rPr>
              <w:t>Keep units, applicability and reference-value policy.</w:t>
            </w:r>
          </w:p>
        </w:tc>
      </w:tr>
      <w:tr>
        <w:trPr>
          <w:cantSplit/>
        </w:trPr>
        <w:tc>
          <w:tcPr>
            <w:tcW w:type="dxa" w:w="3744"/>
            <w:vAlign w:val="top"/>
            <w:shd w:fill="F5F8FB"/>
          </w:tcPr>
          <w:p>
            <w:pPr>
              <w:spacing w:after="0" w:before="0"/>
            </w:pPr>
            <w:r/>
            <w:r>
              <w:rPr>
                <w:rFonts w:ascii="Aptos" w:hAnsi="Aptos"/>
                <w:b w:val="0"/>
                <w:sz w:val="15"/>
              </w:rPr>
              <w:t>Spare_Parts_Reference / Safety_Procedures</w:t>
            </w:r>
          </w:p>
        </w:tc>
        <w:tc>
          <w:tcPr>
            <w:tcW w:type="dxa" w:w="3744"/>
            <w:vAlign w:val="top"/>
            <w:shd w:fill="F5F8FB"/>
          </w:tcPr>
          <w:p>
            <w:pPr>
              <w:spacing w:after="0" w:before="0"/>
            </w:pPr>
            <w:r/>
            <w:r>
              <w:rPr>
                <w:rFonts w:ascii="Aptos" w:hAnsi="Aptos"/>
                <w:b w:val="0"/>
                <w:sz w:val="15"/>
              </w:rPr>
              <w:t>Reference entities + case bridge tables</w:t>
            </w:r>
          </w:p>
        </w:tc>
        <w:tc>
          <w:tcPr>
            <w:tcW w:type="dxa" w:w="3600"/>
            <w:vAlign w:val="top"/>
            <w:shd w:fill="F5F8FB"/>
          </w:tcPr>
          <w:p>
            <w:pPr>
              <w:spacing w:after="0" w:before="0"/>
            </w:pPr>
            <w:r/>
            <w:r>
              <w:rPr>
                <w:rFonts w:ascii="Aptos" w:hAnsi="Aptos"/>
                <w:b w:val="0"/>
                <w:sz w:val="15"/>
              </w:rPr>
              <w:t>Normalize reusable reference records and preserve associations.</w:t>
            </w:r>
          </w:p>
        </w:tc>
      </w:tr>
    </w:tbl>
    <w:p>
      <w:pPr>
        <w:spacing w:after="0"/>
      </w:pPr>
    </w:p>
    <w:p>
      <w:pPr>
        <w:pStyle w:val="Heading1"/>
        <w:keepNext/>
        <w:pageBreakBefore/>
      </w:pPr>
      <w:r>
        <w:t>8. Field and type guidance</w:t>
      </w:r>
    </w:p>
    <w:p>
      <w:r>
        <w:t>The workbook mapping records logical destinations. Physical PostgreSQL types and nullability should be finalized with M05 against the approved Common Data Model. The following are recommended starting types, not a substitute for that review.</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448"/>
            <w:shd w:fill="17365D"/>
            <w:vAlign w:val="top"/>
          </w:tcPr>
          <w:p>
            <w:pPr>
              <w:spacing w:after="0" w:before="0"/>
            </w:pPr>
            <w:r/>
            <w:r>
              <w:rPr>
                <w:rFonts w:ascii="Aptos" w:hAnsi="Aptos"/>
                <w:b/>
                <w:color w:val="FFFFFF"/>
                <w:sz w:val="16"/>
              </w:rPr>
              <w:t>Field group</w:t>
            </w:r>
          </w:p>
        </w:tc>
        <w:tc>
          <w:tcPr>
            <w:tcW w:type="dxa" w:w="3312"/>
            <w:shd w:fill="17365D"/>
            <w:vAlign w:val="top"/>
          </w:tcPr>
          <w:p>
            <w:pPr>
              <w:spacing w:after="0" w:before="0"/>
            </w:pPr>
            <w:r/>
            <w:r>
              <w:rPr>
                <w:rFonts w:ascii="Aptos" w:hAnsi="Aptos"/>
                <w:b/>
                <w:color w:val="FFFFFF"/>
                <w:sz w:val="16"/>
              </w:rPr>
              <w:t>Suggested PostgreSQL type</w:t>
            </w:r>
          </w:p>
        </w:tc>
        <w:tc>
          <w:tcPr>
            <w:tcW w:type="dxa" w:w="5328"/>
            <w:shd w:fill="17365D"/>
            <w:vAlign w:val="top"/>
          </w:tcPr>
          <w:p>
            <w:pPr>
              <w:spacing w:after="0" w:before="0"/>
            </w:pPr>
            <w:r/>
            <w:r>
              <w:rPr>
                <w:rFonts w:ascii="Aptos" w:hAnsi="Aptos"/>
                <w:b/>
                <w:color w:val="FFFFFF"/>
                <w:sz w:val="16"/>
              </w:rPr>
              <w:t>Constraint / rationale</w:t>
            </w:r>
          </w:p>
        </w:tc>
      </w:tr>
      <w:tr>
        <w:trPr>
          <w:cantSplit/>
        </w:trPr>
        <w:tc>
          <w:tcPr>
            <w:tcW w:type="dxa" w:w="2448"/>
            <w:vAlign w:val="top"/>
          </w:tcPr>
          <w:p>
            <w:pPr>
              <w:spacing w:after="0" w:before="0"/>
            </w:pPr>
            <w:r/>
            <w:r>
              <w:rPr>
                <w:rFonts w:ascii="Aptos" w:hAnsi="Aptos"/>
                <w:b w:val="0"/>
                <w:sz w:val="16"/>
              </w:rPr>
              <w:t>Identifier fields</w:t>
            </w:r>
          </w:p>
        </w:tc>
        <w:tc>
          <w:tcPr>
            <w:tcW w:type="dxa" w:w="3312"/>
            <w:vAlign w:val="top"/>
          </w:tcPr>
          <w:p>
            <w:pPr>
              <w:spacing w:after="0" w:before="0"/>
            </w:pPr>
            <w:r/>
            <w:r>
              <w:rPr>
                <w:rFonts w:ascii="Aptos" w:hAnsi="Aptos"/>
                <w:b w:val="0"/>
                <w:sz w:val="16"/>
              </w:rPr>
              <w:t>TEXT or VARCHAR with explicit length only if agreed</w:t>
            </w:r>
          </w:p>
        </w:tc>
        <w:tc>
          <w:tcPr>
            <w:tcW w:type="dxa" w:w="5328"/>
            <w:vAlign w:val="top"/>
          </w:tcPr>
          <w:p>
            <w:pPr>
              <w:spacing w:after="0" w:before="0"/>
            </w:pPr>
            <w:r/>
            <w:r>
              <w:rPr>
                <w:rFonts w:ascii="Aptos" w:hAnsi="Aptos"/>
                <w:b w:val="0"/>
                <w:sz w:val="16"/>
              </w:rPr>
              <w:t>Preserve external IDs such as CASE-PUMP-001 exactly.</w:t>
            </w:r>
          </w:p>
        </w:tc>
      </w:tr>
      <w:tr>
        <w:trPr>
          <w:cantSplit/>
        </w:trPr>
        <w:tc>
          <w:tcPr>
            <w:tcW w:type="dxa" w:w="2448"/>
            <w:vAlign w:val="top"/>
            <w:shd w:fill="F5F8FB"/>
          </w:tcPr>
          <w:p>
            <w:pPr>
              <w:spacing w:after="0" w:before="0"/>
            </w:pPr>
            <w:r/>
            <w:r>
              <w:rPr>
                <w:rFonts w:ascii="Aptos" w:hAnsi="Aptos"/>
                <w:b w:val="0"/>
                <w:sz w:val="16"/>
              </w:rPr>
              <w:t>Human-readable names and labels</w:t>
            </w:r>
          </w:p>
        </w:tc>
        <w:tc>
          <w:tcPr>
            <w:tcW w:type="dxa" w:w="3312"/>
            <w:vAlign w:val="top"/>
            <w:shd w:fill="F5F8FB"/>
          </w:tcPr>
          <w:p>
            <w:pPr>
              <w:spacing w:after="0" w:before="0"/>
            </w:pPr>
            <w:r/>
            <w:r>
              <w:rPr>
                <w:rFonts w:ascii="Aptos" w:hAnsi="Aptos"/>
                <w:b w:val="0"/>
                <w:sz w:val="16"/>
              </w:rPr>
              <w:t>TEXT</w:t>
            </w:r>
          </w:p>
        </w:tc>
        <w:tc>
          <w:tcPr>
            <w:tcW w:type="dxa" w:w="5328"/>
            <w:vAlign w:val="top"/>
            <w:shd w:fill="F5F8FB"/>
          </w:tcPr>
          <w:p>
            <w:pPr>
              <w:spacing w:after="0" w:before="0"/>
            </w:pPr>
            <w:r/>
            <w:r>
              <w:rPr>
                <w:rFonts w:ascii="Aptos" w:hAnsi="Aptos"/>
                <w:b w:val="0"/>
                <w:sz w:val="16"/>
              </w:rPr>
              <w:t>Use controlled lookup rows where values must be standardized.</w:t>
            </w:r>
          </w:p>
        </w:tc>
      </w:tr>
      <w:tr>
        <w:trPr>
          <w:cantSplit/>
        </w:trPr>
        <w:tc>
          <w:tcPr>
            <w:tcW w:type="dxa" w:w="2448"/>
            <w:vAlign w:val="top"/>
          </w:tcPr>
          <w:p>
            <w:pPr>
              <w:spacing w:after="0" w:before="0"/>
            </w:pPr>
            <w:r/>
            <w:r>
              <w:rPr>
                <w:rFonts w:ascii="Aptos" w:hAnsi="Aptos"/>
                <w:b w:val="0"/>
                <w:sz w:val="16"/>
              </w:rPr>
              <w:t>Long explanations / diagnostic instructions</w:t>
            </w:r>
          </w:p>
        </w:tc>
        <w:tc>
          <w:tcPr>
            <w:tcW w:type="dxa" w:w="3312"/>
            <w:vAlign w:val="top"/>
          </w:tcPr>
          <w:p>
            <w:pPr>
              <w:spacing w:after="0" w:before="0"/>
            </w:pPr>
            <w:r/>
            <w:r>
              <w:rPr>
                <w:rFonts w:ascii="Aptos" w:hAnsi="Aptos"/>
                <w:b w:val="0"/>
                <w:sz w:val="16"/>
              </w:rPr>
              <w:t>TEXT</w:t>
            </w:r>
          </w:p>
        </w:tc>
        <w:tc>
          <w:tcPr>
            <w:tcW w:type="dxa" w:w="5328"/>
            <w:vAlign w:val="top"/>
          </w:tcPr>
          <w:p>
            <w:pPr>
              <w:spacing w:after="0" w:before="0"/>
            </w:pPr>
            <w:r/>
            <w:r>
              <w:rPr>
                <w:rFonts w:ascii="Aptos" w:hAnsi="Aptos"/>
                <w:b w:val="0"/>
                <w:sz w:val="16"/>
              </w:rPr>
              <w:t>Avoid truncation; do not store large narratives in short VARCHAR columns.</w:t>
            </w:r>
          </w:p>
        </w:tc>
      </w:tr>
      <w:tr>
        <w:trPr>
          <w:cantSplit/>
        </w:trPr>
        <w:tc>
          <w:tcPr>
            <w:tcW w:type="dxa" w:w="2448"/>
            <w:vAlign w:val="top"/>
            <w:shd w:fill="F5F8FB"/>
          </w:tcPr>
          <w:p>
            <w:pPr>
              <w:spacing w:after="0" w:before="0"/>
            </w:pPr>
            <w:r/>
            <w:r>
              <w:rPr>
                <w:rFonts w:ascii="Aptos" w:hAnsi="Aptos"/>
                <w:b w:val="0"/>
                <w:sz w:val="16"/>
              </w:rPr>
              <w:t>Review / lifecycle status</w:t>
            </w:r>
          </w:p>
        </w:tc>
        <w:tc>
          <w:tcPr>
            <w:tcW w:type="dxa" w:w="3312"/>
            <w:vAlign w:val="top"/>
            <w:shd w:fill="F5F8FB"/>
          </w:tcPr>
          <w:p>
            <w:pPr>
              <w:spacing w:after="0" w:before="0"/>
            </w:pPr>
            <w:r/>
            <w:r>
              <w:rPr>
                <w:rFonts w:ascii="Aptos" w:hAnsi="Aptos"/>
                <w:b w:val="0"/>
                <w:sz w:val="16"/>
              </w:rPr>
              <w:t>TEXT + CHECK or lookup table</w:t>
            </w:r>
          </w:p>
        </w:tc>
        <w:tc>
          <w:tcPr>
            <w:tcW w:type="dxa" w:w="5328"/>
            <w:vAlign w:val="top"/>
            <w:shd w:fill="F5F8FB"/>
          </w:tcPr>
          <w:p>
            <w:pPr>
              <w:spacing w:after="0" w:before="0"/>
            </w:pPr>
            <w:r/>
            <w:r>
              <w:rPr>
                <w:rFonts w:ascii="Aptos" w:hAnsi="Aptos"/>
                <w:b w:val="0"/>
                <w:sz w:val="16"/>
              </w:rPr>
              <w:t>Allowed values must be agreed and documented.</w:t>
            </w:r>
          </w:p>
        </w:tc>
      </w:tr>
      <w:tr>
        <w:trPr>
          <w:cantSplit/>
        </w:trPr>
        <w:tc>
          <w:tcPr>
            <w:tcW w:type="dxa" w:w="2448"/>
            <w:vAlign w:val="top"/>
          </w:tcPr>
          <w:p>
            <w:pPr>
              <w:spacing w:after="0" w:before="0"/>
            </w:pPr>
            <w:r/>
            <w:r>
              <w:rPr>
                <w:rFonts w:ascii="Aptos" w:hAnsi="Aptos"/>
                <w:b w:val="0"/>
                <w:sz w:val="16"/>
              </w:rPr>
              <w:t>Boolean flags</w:t>
            </w:r>
          </w:p>
        </w:tc>
        <w:tc>
          <w:tcPr>
            <w:tcW w:type="dxa" w:w="3312"/>
            <w:vAlign w:val="top"/>
          </w:tcPr>
          <w:p>
            <w:pPr>
              <w:spacing w:after="0" w:before="0"/>
            </w:pPr>
            <w:r/>
            <w:r>
              <w:rPr>
                <w:rFonts w:ascii="Aptos" w:hAnsi="Aptos"/>
                <w:b w:val="0"/>
                <w:sz w:val="16"/>
              </w:rPr>
              <w:t>BOOLEAN</w:t>
            </w:r>
          </w:p>
        </w:tc>
        <w:tc>
          <w:tcPr>
            <w:tcW w:type="dxa" w:w="5328"/>
            <w:vAlign w:val="top"/>
          </w:tcPr>
          <w:p>
            <w:pPr>
              <w:spacing w:after="0" w:before="0"/>
            </w:pPr>
            <w:r/>
            <w:r>
              <w:rPr>
                <w:rFonts w:ascii="Aptos" w:hAnsi="Aptos"/>
                <w:b w:val="0"/>
                <w:sz w:val="16"/>
              </w:rPr>
              <w:t>Use actual boolean values, not “Yes/No” strings.</w:t>
            </w:r>
          </w:p>
        </w:tc>
      </w:tr>
      <w:tr>
        <w:trPr>
          <w:cantSplit/>
        </w:trPr>
        <w:tc>
          <w:tcPr>
            <w:tcW w:type="dxa" w:w="2448"/>
            <w:vAlign w:val="top"/>
            <w:shd w:fill="F5F8FB"/>
          </w:tcPr>
          <w:p>
            <w:pPr>
              <w:spacing w:after="0" w:before="0"/>
            </w:pPr>
            <w:r/>
            <w:r>
              <w:rPr>
                <w:rFonts w:ascii="Aptos" w:hAnsi="Aptos"/>
                <w:b w:val="0"/>
                <w:sz w:val="16"/>
              </w:rPr>
              <w:t>Review dates / event timestamps</w:t>
            </w:r>
          </w:p>
        </w:tc>
        <w:tc>
          <w:tcPr>
            <w:tcW w:type="dxa" w:w="3312"/>
            <w:vAlign w:val="top"/>
            <w:shd w:fill="F5F8FB"/>
          </w:tcPr>
          <w:p>
            <w:pPr>
              <w:spacing w:after="0" w:before="0"/>
            </w:pPr>
            <w:r/>
            <w:r>
              <w:rPr>
                <w:rFonts w:ascii="Aptos" w:hAnsi="Aptos"/>
                <w:b w:val="0"/>
                <w:sz w:val="16"/>
              </w:rPr>
              <w:t>DATE / TIMESTAMPTZ</w:t>
            </w:r>
          </w:p>
        </w:tc>
        <w:tc>
          <w:tcPr>
            <w:tcW w:type="dxa" w:w="5328"/>
            <w:vAlign w:val="top"/>
            <w:shd w:fill="F5F8FB"/>
          </w:tcPr>
          <w:p>
            <w:pPr>
              <w:spacing w:after="0" w:before="0"/>
            </w:pPr>
            <w:r/>
            <w:r>
              <w:rPr>
                <w:rFonts w:ascii="Aptos" w:hAnsi="Aptos"/>
                <w:b w:val="0"/>
                <w:sz w:val="16"/>
              </w:rPr>
              <w:t>Agree whether date-only or timestamp with timezone is required.</w:t>
            </w:r>
          </w:p>
        </w:tc>
      </w:tr>
      <w:tr>
        <w:trPr>
          <w:cantSplit/>
        </w:trPr>
        <w:tc>
          <w:tcPr>
            <w:tcW w:type="dxa" w:w="2448"/>
            <w:vAlign w:val="top"/>
          </w:tcPr>
          <w:p>
            <w:pPr>
              <w:spacing w:after="0" w:before="0"/>
            </w:pPr>
            <w:r/>
            <w:r>
              <w:rPr>
                <w:rFonts w:ascii="Aptos" w:hAnsi="Aptos"/>
                <w:b w:val="0"/>
                <w:sz w:val="16"/>
              </w:rPr>
              <w:t>Criticality scores / FMEA ratings</w:t>
            </w:r>
          </w:p>
        </w:tc>
        <w:tc>
          <w:tcPr>
            <w:tcW w:type="dxa" w:w="3312"/>
            <w:vAlign w:val="top"/>
          </w:tcPr>
          <w:p>
            <w:pPr>
              <w:spacing w:after="0" w:before="0"/>
            </w:pPr>
            <w:r/>
            <w:r>
              <w:rPr>
                <w:rFonts w:ascii="Aptos" w:hAnsi="Aptos"/>
                <w:b w:val="0"/>
                <w:sz w:val="16"/>
              </w:rPr>
              <w:t>SMALLINT / NUMERIC</w:t>
            </w:r>
          </w:p>
        </w:tc>
        <w:tc>
          <w:tcPr>
            <w:tcW w:type="dxa" w:w="5328"/>
            <w:vAlign w:val="top"/>
          </w:tcPr>
          <w:p>
            <w:pPr>
              <w:spacing w:after="0" w:before="0"/>
            </w:pPr>
            <w:r/>
            <w:r>
              <w:rPr>
                <w:rFonts w:ascii="Aptos" w:hAnsi="Aptos"/>
                <w:b w:val="0"/>
                <w:sz w:val="16"/>
              </w:rPr>
              <w:t>Bounds and weights depend on approved rating framework.</w:t>
            </w:r>
          </w:p>
        </w:tc>
      </w:tr>
      <w:tr>
        <w:trPr>
          <w:cantSplit/>
        </w:trPr>
        <w:tc>
          <w:tcPr>
            <w:tcW w:type="dxa" w:w="2448"/>
            <w:vAlign w:val="top"/>
            <w:shd w:fill="F5F8FB"/>
          </w:tcPr>
          <w:p>
            <w:pPr>
              <w:spacing w:after="0" w:before="0"/>
            </w:pPr>
            <w:r/>
            <w:r>
              <w:rPr>
                <w:rFonts w:ascii="Aptos" w:hAnsi="Aptos"/>
                <w:b w:val="0"/>
                <w:sz w:val="16"/>
              </w:rPr>
              <w:t>RPN</w:t>
            </w:r>
          </w:p>
        </w:tc>
        <w:tc>
          <w:tcPr>
            <w:tcW w:type="dxa" w:w="3312"/>
            <w:vAlign w:val="top"/>
            <w:shd w:fill="F5F8FB"/>
          </w:tcPr>
          <w:p>
            <w:pPr>
              <w:spacing w:after="0" w:before="0"/>
            </w:pPr>
            <w:r/>
            <w:r>
              <w:rPr>
                <w:rFonts w:ascii="Aptos" w:hAnsi="Aptos"/>
                <w:b w:val="0"/>
                <w:sz w:val="16"/>
              </w:rPr>
              <w:t>INTEGER or generated calculation</w:t>
            </w:r>
          </w:p>
        </w:tc>
        <w:tc>
          <w:tcPr>
            <w:tcW w:type="dxa" w:w="5328"/>
            <w:vAlign w:val="top"/>
            <w:shd w:fill="F5F8FB"/>
          </w:tcPr>
          <w:p>
            <w:pPr>
              <w:spacing w:after="0" w:before="0"/>
            </w:pPr>
            <w:r/>
            <w:r>
              <w:rPr>
                <w:rFonts w:ascii="Aptos" w:hAnsi="Aptos"/>
                <w:b w:val="0"/>
                <w:sz w:val="16"/>
              </w:rPr>
              <w:t>Use only after the S × O × D rule and rating scale are approved.</w:t>
            </w:r>
          </w:p>
        </w:tc>
      </w:tr>
      <w:tr>
        <w:trPr>
          <w:cantSplit/>
        </w:trPr>
        <w:tc>
          <w:tcPr>
            <w:tcW w:type="dxa" w:w="2448"/>
            <w:vAlign w:val="top"/>
          </w:tcPr>
          <w:p>
            <w:pPr>
              <w:spacing w:after="0" w:before="0"/>
            </w:pPr>
            <w:r/>
            <w:r>
              <w:rPr>
                <w:rFonts w:ascii="Aptos" w:hAnsi="Aptos"/>
                <w:b w:val="0"/>
                <w:sz w:val="16"/>
              </w:rPr>
              <w:t>Flexible source metadata (if unavoidable)</w:t>
            </w:r>
          </w:p>
        </w:tc>
        <w:tc>
          <w:tcPr>
            <w:tcW w:type="dxa" w:w="3312"/>
            <w:vAlign w:val="top"/>
          </w:tcPr>
          <w:p>
            <w:pPr>
              <w:spacing w:after="0" w:before="0"/>
            </w:pPr>
            <w:r/>
            <w:r>
              <w:rPr>
                <w:rFonts w:ascii="Aptos" w:hAnsi="Aptos"/>
                <w:b w:val="0"/>
                <w:sz w:val="16"/>
              </w:rPr>
              <w:t>JSONB sparingly</w:t>
            </w:r>
          </w:p>
        </w:tc>
        <w:tc>
          <w:tcPr>
            <w:tcW w:type="dxa" w:w="5328"/>
            <w:vAlign w:val="top"/>
          </w:tcPr>
          <w:p>
            <w:pPr>
              <w:spacing w:after="0" w:before="0"/>
            </w:pPr>
            <w:r/>
            <w:r>
              <w:rPr>
                <w:rFonts w:ascii="Aptos" w:hAnsi="Aptos"/>
                <w:b w:val="0"/>
                <w:sz w:val="16"/>
              </w:rPr>
              <w:t>Do not use JSONB as a shortcut for core relationships or filterable fields.</w:t>
            </w:r>
          </w:p>
        </w:tc>
      </w:tr>
    </w:tbl>
    <w:p>
      <w:pPr>
        <w:spacing w:after="0"/>
      </w:pPr>
    </w:p>
    <w:p>
      <w:pPr>
        <w:pStyle w:val="Heading1"/>
        <w:keepNext/>
      </w:pPr>
      <w:r>
        <w:t>9. Data-quality and ingestion controls</w:t>
      </w:r>
    </w:p>
    <w:p>
      <w:pPr>
        <w:pStyle w:val="ListBullet"/>
        <w:spacing w:after="40"/>
      </w:pPr>
      <w:r>
        <w:t>Pre-load: verify workbook version, required headers, 50 case IDs, unique IDs, allowed equipment classes and source-ID existence.</w:t>
      </w:r>
    </w:p>
    <w:p>
      <w:pPr>
        <w:pStyle w:val="ListBullet"/>
        <w:spacing w:after="40"/>
      </w:pPr>
      <w:r>
        <w:t>Pre-load: validate every diagnostic step references a known case; validate step numbers are positive and unique per case.</w:t>
      </w:r>
    </w:p>
    <w:p>
      <w:pPr>
        <w:pStyle w:val="ListBullet"/>
        <w:spacing w:after="40"/>
      </w:pPr>
      <w:r>
        <w:t>Pre-load: keep original/source wording in provenance fields where normalization changes labels.</w:t>
      </w:r>
    </w:p>
    <w:p>
      <w:pPr>
        <w:pStyle w:val="ListBullet"/>
        <w:spacing w:after="40"/>
      </w:pPr>
      <w:r>
        <w:t>Load: use a transaction and report rejected rows; do not silently coerce malformed values or fill unknown technical facts.</w:t>
      </w:r>
    </w:p>
    <w:p>
      <w:pPr>
        <w:pStyle w:val="ListBullet"/>
        <w:spacing w:after="40"/>
      </w:pPr>
      <w:r>
        <w:t>Post-load: compare row counts to source counts, check foreign-key orphans, verify case-to-step counts and confirm taxonomy gaps remain visible.</w:t>
      </w:r>
    </w:p>
    <w:p>
      <w:pPr>
        <w:pStyle w:val="ListBullet"/>
        <w:spacing w:after="40"/>
      </w:pPr>
      <w:r>
        <w:t>Operational: distinguish structural validity from technical validation. A record can pass field checks and still require expert review.</w:t>
      </w:r>
    </w:p>
    <w:p>
      <w:pPr>
        <w:pStyle w:val="ListBullet"/>
        <w:spacing w:after="40"/>
      </w:pPr>
      <w:r>
        <w:t>Retrieval: keep retrieval_eligibility explicit; synthetic and unreviewed cases should be excluded from any production-facing recommendation path unless the project explicitly approves a labelled demo mode.</w:t>
      </w:r>
    </w:p>
    <w:p>
      <w:pPr>
        <w:pStyle w:val="Heading1"/>
        <w:keepNext/>
      </w:pPr>
      <w:r>
        <w:t>9A. Group 1 hierarchy and taxonomy alignment</w:t>
      </w:r>
    </w:p>
    <w:p>
      <w:pPr/>
      <w:r>
        <w:t>The Group 1 hierarchy proposal (Draft v0.1) is treated as a review input, not an approved contract. It distinguishes equipment class, equipment type, subsystem, component and failure mode. This is a knowledge taxonomy and must not be conflated with the plant asset hierarchy (Plant → Area → System → Equipment → Component). The two structures should be linked through reviewed mappings rather than forced into a single parent-child chain.</w:t>
      </w:r>
    </w:p>
    <w:p>
      <w:pPr>
        <w:pStyle w:val="Heading2"/>
        <w:keepNext/>
      </w:pPr>
      <w:r>
        <w:t>Design treatment for this revision</w:t>
      </w:r>
    </w:p>
    <w:p>
      <w:pPr>
        <w:pStyle w:val="ListBullet"/>
      </w:pPr>
      <w:r>
        <w:t>Keep ASSET_NODE for the plant asset hierarchy and its site-specific parent-child relationships.</w:t>
      </w:r>
    </w:p>
    <w:p>
      <w:pPr>
        <w:pStyle w:val="ListBullet"/>
      </w:pPr>
      <w:r>
        <w:t>Keep EQUIPMENT_CLASS / equipment-type references and failure taxonomy as controlled knowledge reference data; map cases and components to them using explicit foreign keys or bridge tables.</w:t>
      </w:r>
    </w:p>
    <w:p>
      <w:pPr>
        <w:pStyle w:val="ListBullet"/>
      </w:pPr>
      <w:r>
        <w:t>Keep project taxonomy_code separate from failure_mode_id. Do not label project codes as ISO 14224 codes unless a reviewed crosswalk explicitly supports that claim.</w:t>
      </w:r>
    </w:p>
    <w:p>
      <w:pPr>
        <w:pStyle w:val="ListBullet"/>
      </w:pPr>
      <w:r>
        <w:t>Preserve source identifiers and labels. Do not silently rename taxonomy codes, merge subsystem labels, split composite components or invent missing IDs during ingestion.</w:t>
      </w:r>
    </w:p>
    <w:p>
      <w:pPr>
        <w:pStyle w:val="ListBullet"/>
      </w:pPr>
      <w:r>
        <w:t>Treat the 11 entries marked proposed in the Group 1 proposal as unapproved; retain their proposal status and owner/review notes.</w:t>
      </w:r>
    </w:p>
    <w:p>
      <w:pPr>
        <w:pStyle w:val="ListBullet"/>
      </w:pPr>
      <w:r>
        <w:t>Keep synthetic case records and unreviewed mappings ineligible for production recommendations unless a clearly labelled demo mode is explicitly approved.</w:t>
      </w:r>
    </w:p>
    <w:p>
      <w:pPr>
        <w:pStyle w:val="Heading2"/>
        <w:keepNext/>
      </w:pPr>
      <w:r>
        <w:t>Open alignment items</w:t>
      </w:r>
    </w:p>
    <w:p>
      <w:pPr/>
      <w:r>
        <w:t>Confirm the equipment class/type boundary, proposed subsystem merges, motor taxonomy-code convention, composite component names, pump-versus-driver boundary, and ambiguous case mappings with M01/M02 and Groups 2–3. Confirm structured retrieval filters and metadata with Group 3, and physical schema constraints with M05. No approval is implied by this revision.</w:t>
      </w:r>
    </w:p>
    <w:p>
      <w:pPr>
        <w:pStyle w:val="Heading1"/>
        <w:keepNext/>
      </w:pPr>
      <w:r>
        <w:t>9B. Model consistency and revision control</w:t>
      </w:r>
    </w:p>
    <w:p>
      <w:pPr/>
      <w:r>
        <w:t>The Entity_Inventory and Relationships worksheets in M04_Entity_Relationship_Reference_v1.2.xlsx are the canonical logical-model reference for this package. The three ERD views and editable sources have been reconciled to use the same entity names and key relationships. Where a decision remains open, the diagram shows the proposed logical relationship and does not imply domain approval.</w:t>
      </w:r>
    </w:p>
    <w:p>
      <w:pPr/>
      <w:r>
        <w:t>Canonical naming corrections in this revision include CASE_FAILURE_MAPPING (with separate optional taxonomy_code and failure_mode_id references), FMEA_ASSESSMENT, and MEASUREMENT_REFERENCE. FMEA_ASSESSMENT supports equipment-class context with optional asset and taxonomy context; MEASUREMENT_REFERENCE is equipment-class scoped, with optional taxonomy and source references. These are reference/assessment records, not assertions that real plant measurements or approved FMEA ratings have been supplied.</w:t>
      </w:r>
    </w:p>
    <w:p>
      <w:pPr/>
      <w:r>
        <w:t>Version control: the report, reference workbook, ERD exports and editable sources are packaged as M04 v1.2. The exact Common Data Model and JSON Schema versions remain an open cross-group dependency until the approved artifacts and sign-off are recorded. No Common Data Model version is represented as approved by this package.</w:t>
      </w:r>
    </w:p>
    <w:p>
      <w:pPr>
        <w:pStyle w:val="Heading1"/>
        <w:keepNext/>
      </w:pPr>
      <w:r>
        <w:t>10. Assumptions and decisions requiring sign-off</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792"/>
            <w:shd w:fill="17365D"/>
            <w:vAlign w:val="top"/>
          </w:tcPr>
          <w:p>
            <w:pPr>
              <w:spacing w:after="0" w:before="0"/>
            </w:pPr>
            <w:r/>
            <w:r>
              <w:rPr>
                <w:rFonts w:ascii="Aptos" w:hAnsi="Aptos"/>
                <w:b/>
                <w:color w:val="FFFFFF"/>
                <w:sz w:val="14"/>
              </w:rPr>
              <w:t>ID</w:t>
            </w:r>
          </w:p>
        </w:tc>
        <w:tc>
          <w:tcPr>
            <w:tcW w:type="dxa" w:w="1728"/>
            <w:shd w:fill="17365D"/>
            <w:vAlign w:val="top"/>
          </w:tcPr>
          <w:p>
            <w:pPr>
              <w:spacing w:after="0" w:before="0"/>
            </w:pPr>
            <w:r/>
            <w:r>
              <w:rPr>
                <w:rFonts w:ascii="Aptos" w:hAnsi="Aptos"/>
                <w:b/>
                <w:color w:val="FFFFFF"/>
                <w:sz w:val="14"/>
              </w:rPr>
              <w:t>Owner</w:t>
            </w:r>
          </w:p>
        </w:tc>
        <w:tc>
          <w:tcPr>
            <w:tcW w:type="dxa" w:w="3960"/>
            <w:shd w:fill="17365D"/>
            <w:vAlign w:val="top"/>
          </w:tcPr>
          <w:p>
            <w:pPr>
              <w:spacing w:after="0" w:before="0"/>
            </w:pPr>
            <w:r/>
            <w:r>
              <w:rPr>
                <w:rFonts w:ascii="Aptos" w:hAnsi="Aptos"/>
                <w:b/>
                <w:color w:val="FFFFFF"/>
                <w:sz w:val="14"/>
              </w:rPr>
              <w:t>Decision required</w:t>
            </w:r>
          </w:p>
        </w:tc>
        <w:tc>
          <w:tcPr>
            <w:tcW w:type="dxa" w:w="3168"/>
            <w:shd w:fill="17365D"/>
            <w:vAlign w:val="top"/>
          </w:tcPr>
          <w:p>
            <w:pPr>
              <w:spacing w:after="0" w:before="0"/>
            </w:pPr>
            <w:r/>
            <w:r>
              <w:rPr>
                <w:rFonts w:ascii="Aptos" w:hAnsi="Aptos"/>
                <w:b/>
                <w:color w:val="FFFFFF"/>
                <w:sz w:val="14"/>
              </w:rPr>
              <w:t>Why it matters</w:t>
            </w:r>
          </w:p>
        </w:tc>
        <w:tc>
          <w:tcPr>
            <w:tcW w:type="dxa" w:w="936"/>
            <w:shd w:fill="17365D"/>
            <w:vAlign w:val="top"/>
          </w:tcPr>
          <w:p>
            <w:pPr>
              <w:spacing w:after="0" w:before="0"/>
            </w:pPr>
            <w:r/>
            <w:r>
              <w:rPr>
                <w:rFonts w:ascii="Aptos" w:hAnsi="Aptos"/>
                <w:b/>
                <w:color w:val="FFFFFF"/>
                <w:sz w:val="14"/>
              </w:rPr>
              <w:t>Status</w:t>
            </w:r>
          </w:p>
        </w:tc>
      </w:tr>
      <w:tr>
        <w:trPr>
          <w:cantSplit/>
        </w:trPr>
        <w:tc>
          <w:tcPr>
            <w:tcW w:type="dxa" w:w="792"/>
            <w:vAlign w:val="top"/>
          </w:tcPr>
          <w:p>
            <w:pPr>
              <w:spacing w:after="0" w:before="0"/>
            </w:pPr>
            <w:r/>
            <w:r>
              <w:rPr>
                <w:rFonts w:ascii="Aptos" w:hAnsi="Aptos"/>
                <w:b w:val="0"/>
                <w:sz w:val="14"/>
              </w:rPr>
              <w:t>Q01</w:t>
            </w:r>
          </w:p>
        </w:tc>
        <w:tc>
          <w:tcPr>
            <w:tcW w:type="dxa" w:w="1728"/>
            <w:vAlign w:val="top"/>
          </w:tcPr>
          <w:p>
            <w:pPr>
              <w:spacing w:after="0" w:before="0"/>
            </w:pPr>
            <w:r/>
            <w:r>
              <w:rPr>
                <w:rFonts w:ascii="Aptos" w:hAnsi="Aptos"/>
                <w:b w:val="0"/>
                <w:sz w:val="14"/>
              </w:rPr>
              <w:t>Group 1 + M06</w:t>
            </w:r>
          </w:p>
        </w:tc>
        <w:tc>
          <w:tcPr>
            <w:tcW w:type="dxa" w:w="3960"/>
            <w:vAlign w:val="top"/>
          </w:tcPr>
          <w:p>
            <w:pPr>
              <w:spacing w:after="0" w:before="0"/>
            </w:pPr>
            <w:r/>
            <w:r>
              <w:rPr>
                <w:rFonts w:ascii="Aptos" w:hAnsi="Aptos"/>
                <w:b w:val="0"/>
                <w:sz w:val="14"/>
              </w:rPr>
              <w:t>Confirm canonical hierarchy levels and whether “Subsystem” is a formal node or descriptive metadata.</w:t>
            </w:r>
          </w:p>
        </w:tc>
        <w:tc>
          <w:tcPr>
            <w:tcW w:type="dxa" w:w="3168"/>
            <w:vAlign w:val="top"/>
          </w:tcPr>
          <w:p>
            <w:pPr>
              <w:spacing w:after="0" w:before="0"/>
            </w:pPr>
            <w:r/>
            <w:r>
              <w:rPr>
                <w:rFonts w:ascii="Aptos" w:hAnsi="Aptos"/>
                <w:b w:val="0"/>
                <w:sz w:val="14"/>
              </w:rPr>
              <w:t>Blocks parent-level validation and ASSET_NODE constraints.</w:t>
            </w:r>
          </w:p>
        </w:tc>
        <w:tc>
          <w:tcPr>
            <w:tcW w:type="dxa" w:w="936"/>
            <w:vAlign w:val="top"/>
          </w:tcPr>
          <w:p>
            <w:pPr>
              <w:spacing w:after="0" w:before="0"/>
            </w:pPr>
            <w:r/>
            <w:r>
              <w:rPr>
                <w:rFonts w:ascii="Aptos" w:hAnsi="Aptos"/>
                <w:b w:val="0"/>
                <w:sz w:val="14"/>
              </w:rPr>
              <w:t>Open</w:t>
            </w:r>
          </w:p>
        </w:tc>
      </w:tr>
      <w:tr>
        <w:trPr>
          <w:cantSplit/>
        </w:trPr>
        <w:tc>
          <w:tcPr>
            <w:tcW w:type="dxa" w:w="792"/>
            <w:vAlign w:val="top"/>
            <w:shd w:fill="F5F8FB"/>
          </w:tcPr>
          <w:p>
            <w:pPr>
              <w:spacing w:after="0" w:before="0"/>
            </w:pPr>
            <w:r/>
            <w:r>
              <w:rPr>
                <w:rFonts w:ascii="Aptos" w:hAnsi="Aptos"/>
                <w:b w:val="0"/>
                <w:sz w:val="14"/>
              </w:rPr>
              <w:t>Q02</w:t>
            </w:r>
          </w:p>
        </w:tc>
        <w:tc>
          <w:tcPr>
            <w:tcW w:type="dxa" w:w="1728"/>
            <w:vAlign w:val="top"/>
            <w:shd w:fill="F5F8FB"/>
          </w:tcPr>
          <w:p>
            <w:pPr>
              <w:spacing w:after="0" w:before="0"/>
            </w:pPr>
            <w:r/>
            <w:r>
              <w:rPr>
                <w:rFonts w:ascii="Aptos" w:hAnsi="Aptos"/>
                <w:b w:val="0"/>
                <w:sz w:val="14"/>
              </w:rPr>
              <w:t>Groups 1 + 3 + 4</w:t>
            </w:r>
          </w:p>
        </w:tc>
        <w:tc>
          <w:tcPr>
            <w:tcW w:type="dxa" w:w="3960"/>
            <w:vAlign w:val="top"/>
            <w:shd w:fill="F5F8FB"/>
          </w:tcPr>
          <w:p>
            <w:r>
              <w:t>Provide the agreed Common Data Model artifact and record its exact version plus JSON Schema version; approval must be confirmed by Groups 1, 3 and 4.</w:t>
            </w:r>
          </w:p>
        </w:tc>
        <w:tc>
          <w:tcPr>
            <w:tcW w:type="dxa" w:w="3168"/>
            <w:vAlign w:val="top"/>
            <w:shd w:fill="F5F8FB"/>
          </w:tcPr>
          <w:p>
            <w:r>
              <w:t>Blocks final field contract and acceptance sign-off. M04 does not infer or claim an approved version.</w:t>
            </w:r>
          </w:p>
        </w:tc>
        <w:tc>
          <w:tcPr>
            <w:tcW w:type="dxa" w:w="936"/>
            <w:vAlign w:val="top"/>
            <w:shd w:fill="F5F8FB"/>
          </w:tcPr>
          <w:p>
            <w:pPr>
              <w:spacing w:after="0" w:before="0"/>
            </w:pPr>
            <w:r/>
            <w:r>
              <w:rPr>
                <w:rFonts w:ascii="Aptos" w:hAnsi="Aptos"/>
                <w:b w:val="0"/>
                <w:sz w:val="14"/>
              </w:rPr>
              <w:t>Open</w:t>
            </w:r>
          </w:p>
        </w:tc>
      </w:tr>
      <w:tr>
        <w:trPr>
          <w:cantSplit/>
        </w:trPr>
        <w:tc>
          <w:tcPr>
            <w:tcW w:type="dxa" w:w="792"/>
            <w:vAlign w:val="top"/>
          </w:tcPr>
          <w:p>
            <w:pPr>
              <w:spacing w:after="0" w:before="0"/>
            </w:pPr>
            <w:r/>
            <w:r>
              <w:rPr>
                <w:rFonts w:ascii="Aptos" w:hAnsi="Aptos"/>
                <w:b w:val="0"/>
                <w:sz w:val="14"/>
              </w:rPr>
              <w:t>Q03</w:t>
            </w:r>
          </w:p>
        </w:tc>
        <w:tc>
          <w:tcPr>
            <w:tcW w:type="dxa" w:w="1728"/>
            <w:vAlign w:val="top"/>
          </w:tcPr>
          <w:p>
            <w:pPr>
              <w:spacing w:after="0" w:before="0"/>
            </w:pPr>
            <w:r/>
            <w:r>
              <w:rPr>
                <w:rFonts w:ascii="Aptos" w:hAnsi="Aptos"/>
                <w:b w:val="0"/>
                <w:sz w:val="14"/>
              </w:rPr>
              <w:t>Group 3</w:t>
            </w:r>
          </w:p>
        </w:tc>
        <w:tc>
          <w:tcPr>
            <w:tcW w:type="dxa" w:w="3960"/>
            <w:vAlign w:val="top"/>
          </w:tcPr>
          <w:p>
            <w:pPr>
              <w:spacing w:after="0" w:before="0"/>
            </w:pPr>
            <w:r/>
            <w:r>
              <w:rPr>
                <w:rFonts w:ascii="Aptos" w:hAnsi="Aptos"/>
                <w:b w:val="0"/>
                <w:sz w:val="14"/>
              </w:rPr>
              <w:t>Confirm structured retrieval filters, embedding text fields, metadata contract and eligibility rules.</w:t>
            </w:r>
          </w:p>
        </w:tc>
        <w:tc>
          <w:tcPr>
            <w:tcW w:type="dxa" w:w="3168"/>
            <w:vAlign w:val="top"/>
          </w:tcPr>
          <w:p>
            <w:pPr>
              <w:spacing w:after="0" w:before="0"/>
            </w:pPr>
            <w:r/>
            <w:r>
              <w:rPr>
                <w:rFonts w:ascii="Aptos" w:hAnsi="Aptos"/>
                <w:b w:val="0"/>
                <w:sz w:val="14"/>
              </w:rPr>
              <w:t>Prevents mismatch with AI &amp; Retrieval pipeline.</w:t>
            </w:r>
          </w:p>
        </w:tc>
        <w:tc>
          <w:tcPr>
            <w:tcW w:type="dxa" w:w="936"/>
            <w:vAlign w:val="top"/>
          </w:tcPr>
          <w:p>
            <w:pPr>
              <w:spacing w:after="0" w:before="0"/>
            </w:pPr>
            <w:r/>
            <w:r>
              <w:rPr>
                <w:rFonts w:ascii="Aptos" w:hAnsi="Aptos"/>
                <w:b w:val="0"/>
                <w:sz w:val="14"/>
              </w:rPr>
              <w:t>Open</w:t>
            </w:r>
          </w:p>
        </w:tc>
      </w:tr>
      <w:tr>
        <w:trPr>
          <w:cantSplit/>
        </w:trPr>
        <w:tc>
          <w:tcPr>
            <w:tcW w:type="dxa" w:w="792"/>
            <w:vAlign w:val="top"/>
            <w:shd w:fill="F5F8FB"/>
          </w:tcPr>
          <w:p>
            <w:pPr>
              <w:spacing w:after="0" w:before="0"/>
            </w:pPr>
            <w:r/>
            <w:r>
              <w:rPr>
                <w:rFonts w:ascii="Aptos" w:hAnsi="Aptos"/>
                <w:b w:val="0"/>
                <w:sz w:val="14"/>
              </w:rPr>
              <w:t>Q04</w:t>
            </w:r>
          </w:p>
        </w:tc>
        <w:tc>
          <w:tcPr>
            <w:tcW w:type="dxa" w:w="1728"/>
            <w:vAlign w:val="top"/>
            <w:shd w:fill="F5F8FB"/>
          </w:tcPr>
          <w:p>
            <w:pPr>
              <w:spacing w:after="0" w:before="0"/>
            </w:pPr>
            <w:r/>
            <w:r>
              <w:rPr>
                <w:rFonts w:ascii="Aptos" w:hAnsi="Aptos"/>
                <w:b w:val="0"/>
                <w:sz w:val="14"/>
              </w:rPr>
              <w:t>M05</w:t>
            </w:r>
          </w:p>
        </w:tc>
        <w:tc>
          <w:tcPr>
            <w:tcW w:type="dxa" w:w="3960"/>
            <w:vAlign w:val="top"/>
            <w:shd w:fill="F5F8FB"/>
          </w:tcPr>
          <w:p>
            <w:pPr>
              <w:spacing w:after="0" w:before="0"/>
            </w:pPr>
            <w:r/>
            <w:r>
              <w:rPr>
                <w:rFonts w:ascii="Aptos" w:hAnsi="Aptos"/>
                <w:b w:val="0"/>
                <w:sz w:val="14"/>
              </w:rPr>
              <w:t>Confirm PostgreSQL type conventions, naming, delete/update behavior, indexes and migration constraints.</w:t>
            </w:r>
          </w:p>
        </w:tc>
        <w:tc>
          <w:tcPr>
            <w:tcW w:type="dxa" w:w="3168"/>
            <w:vAlign w:val="top"/>
            <w:shd w:fill="F5F8FB"/>
          </w:tcPr>
          <w:p>
            <w:pPr>
              <w:spacing w:after="0" w:before="0"/>
            </w:pPr>
            <w:r/>
            <w:r>
              <w:rPr>
                <w:rFonts w:ascii="Aptos" w:hAnsi="Aptos"/>
                <w:b w:val="0"/>
                <w:sz w:val="14"/>
              </w:rPr>
              <w:t>Needed before physical schema implementation.</w:t>
            </w:r>
          </w:p>
        </w:tc>
        <w:tc>
          <w:tcPr>
            <w:tcW w:type="dxa" w:w="936"/>
            <w:vAlign w:val="top"/>
            <w:shd w:fill="F5F8FB"/>
          </w:tcPr>
          <w:p>
            <w:pPr>
              <w:spacing w:after="0" w:before="0"/>
            </w:pPr>
            <w:r/>
            <w:r>
              <w:rPr>
                <w:rFonts w:ascii="Aptos" w:hAnsi="Aptos"/>
                <w:b w:val="0"/>
                <w:sz w:val="14"/>
              </w:rPr>
              <w:t>Open</w:t>
            </w:r>
          </w:p>
        </w:tc>
      </w:tr>
      <w:tr>
        <w:trPr>
          <w:cantSplit/>
        </w:trPr>
        <w:tc>
          <w:tcPr>
            <w:tcW w:type="dxa" w:w="792"/>
            <w:vAlign w:val="top"/>
          </w:tcPr>
          <w:p>
            <w:pPr>
              <w:spacing w:after="0" w:before="0"/>
            </w:pPr>
            <w:r/>
            <w:r>
              <w:rPr>
                <w:rFonts w:ascii="Aptos" w:hAnsi="Aptos"/>
                <w:b w:val="0"/>
                <w:sz w:val="14"/>
              </w:rPr>
              <w:t>Q05</w:t>
            </w:r>
          </w:p>
        </w:tc>
        <w:tc>
          <w:tcPr>
            <w:tcW w:type="dxa" w:w="1728"/>
            <w:vAlign w:val="top"/>
          </w:tcPr>
          <w:p>
            <w:pPr>
              <w:spacing w:after="0" w:before="0"/>
            </w:pPr>
            <w:r/>
            <w:r>
              <w:rPr>
                <w:rFonts w:ascii="Aptos" w:hAnsi="Aptos"/>
                <w:b w:val="0"/>
                <w:sz w:val="14"/>
              </w:rPr>
              <w:t>M06 + Group 1</w:t>
            </w:r>
          </w:p>
        </w:tc>
        <w:tc>
          <w:tcPr>
            <w:tcW w:type="dxa" w:w="3960"/>
            <w:vAlign w:val="top"/>
          </w:tcPr>
          <w:p>
            <w:pPr>
              <w:spacing w:after="0" w:before="0"/>
            </w:pPr>
            <w:r/>
            <w:r>
              <w:rPr>
                <w:rFonts w:ascii="Aptos" w:hAnsi="Aptos"/>
                <w:b w:val="0"/>
                <w:sz w:val="14"/>
              </w:rPr>
              <w:t>Confirm whether current plant/facility/production-line fields are fictional context or should map to asset hierarchy nodes.</w:t>
            </w:r>
          </w:p>
        </w:tc>
        <w:tc>
          <w:tcPr>
            <w:tcW w:type="dxa" w:w="3168"/>
            <w:vAlign w:val="top"/>
          </w:tcPr>
          <w:p>
            <w:pPr>
              <w:spacing w:after="0" w:before="0"/>
            </w:pPr>
            <w:r/>
            <w:r>
              <w:rPr>
                <w:rFonts w:ascii="Aptos" w:hAnsi="Aptos"/>
                <w:b w:val="0"/>
                <w:sz w:val="14"/>
              </w:rPr>
              <w:t>Avoids turning synthetic case context into real assets.</w:t>
            </w:r>
          </w:p>
        </w:tc>
        <w:tc>
          <w:tcPr>
            <w:tcW w:type="dxa" w:w="936"/>
            <w:vAlign w:val="top"/>
          </w:tcPr>
          <w:p>
            <w:pPr>
              <w:spacing w:after="0" w:before="0"/>
            </w:pPr>
            <w:r/>
            <w:r>
              <w:rPr>
                <w:rFonts w:ascii="Aptos" w:hAnsi="Aptos"/>
                <w:b w:val="0"/>
                <w:sz w:val="14"/>
              </w:rPr>
              <w:t>Open</w:t>
            </w:r>
          </w:p>
        </w:tc>
      </w:tr>
      <w:tr>
        <w:trPr>
          <w:cantSplit/>
        </w:trPr>
        <w:tc>
          <w:tcPr>
            <w:tcW w:type="dxa" w:w="792"/>
            <w:vAlign w:val="top"/>
            <w:shd w:fill="F5F8FB"/>
          </w:tcPr>
          <w:p>
            <w:pPr>
              <w:spacing w:after="0" w:before="0"/>
            </w:pPr>
            <w:r/>
            <w:r>
              <w:rPr>
                <w:rFonts w:ascii="Aptos" w:hAnsi="Aptos"/>
                <w:b w:val="0"/>
                <w:sz w:val="14"/>
              </w:rPr>
              <w:t>Q06</w:t>
            </w:r>
          </w:p>
        </w:tc>
        <w:tc>
          <w:tcPr>
            <w:tcW w:type="dxa" w:w="1728"/>
            <w:vAlign w:val="top"/>
            <w:shd w:fill="F5F8FB"/>
          </w:tcPr>
          <w:p>
            <w:pPr>
              <w:spacing w:after="0" w:before="0"/>
            </w:pPr>
            <w:r/>
            <w:r>
              <w:rPr>
                <w:rFonts w:ascii="Aptos" w:hAnsi="Aptos"/>
                <w:b w:val="0"/>
                <w:sz w:val="14"/>
              </w:rPr>
              <w:t>Group 1 / domain steward</w:t>
            </w:r>
          </w:p>
        </w:tc>
        <w:tc>
          <w:tcPr>
            <w:tcW w:type="dxa" w:w="3960"/>
            <w:vAlign w:val="top"/>
            <w:shd w:fill="F5F8FB"/>
          </w:tcPr>
          <w:p>
            <w:pPr>
              <w:spacing w:after="0" w:before="0"/>
            </w:pPr>
            <w:r/>
            <w:r>
              <w:rPr>
                <w:rFonts w:ascii="Aptos" w:hAnsi="Aptos"/>
                <w:b w:val="0"/>
                <w:sz w:val="14"/>
              </w:rPr>
              <w:t>Approve failure taxonomy and project-local vocabulary mappings; resolve ambiguous mappings and taxonomy gaps.</w:t>
            </w:r>
          </w:p>
        </w:tc>
        <w:tc>
          <w:tcPr>
            <w:tcW w:type="dxa" w:w="3168"/>
            <w:vAlign w:val="top"/>
            <w:shd w:fill="F5F8FB"/>
          </w:tcPr>
          <w:p>
            <w:pPr>
              <w:spacing w:after="0" w:before="0"/>
            </w:pPr>
            <w:r/>
            <w:r>
              <w:rPr>
                <w:rFonts w:ascii="Aptos" w:hAnsi="Aptos"/>
                <w:b w:val="0"/>
                <w:sz w:val="14"/>
              </w:rPr>
              <w:t>11 taxonomy gaps and 13 ambiguous mappings are reported by source workbook.</w:t>
            </w:r>
          </w:p>
        </w:tc>
        <w:tc>
          <w:tcPr>
            <w:tcW w:type="dxa" w:w="936"/>
            <w:vAlign w:val="top"/>
            <w:shd w:fill="F5F8FB"/>
          </w:tcPr>
          <w:p>
            <w:pPr>
              <w:spacing w:after="0" w:before="0"/>
            </w:pPr>
            <w:r/>
            <w:r>
              <w:rPr>
                <w:rFonts w:ascii="Aptos" w:hAnsi="Aptos"/>
                <w:b w:val="0"/>
                <w:sz w:val="14"/>
              </w:rPr>
              <w:t>Open</w:t>
            </w:r>
          </w:p>
        </w:tc>
      </w:tr>
      <w:tr>
        <w:trPr>
          <w:cantSplit/>
        </w:trPr>
        <w:tc>
          <w:tcPr>
            <w:tcW w:type="dxa" w:w="792"/>
            <w:vAlign w:val="top"/>
          </w:tcPr>
          <w:p>
            <w:pPr>
              <w:spacing w:after="0" w:before="0"/>
            </w:pPr>
            <w:r/>
            <w:r>
              <w:rPr>
                <w:rFonts w:ascii="Aptos" w:hAnsi="Aptos"/>
                <w:b w:val="0"/>
                <w:sz w:val="14"/>
              </w:rPr>
              <w:t>Q07</w:t>
            </w:r>
          </w:p>
        </w:tc>
        <w:tc>
          <w:tcPr>
            <w:tcW w:type="dxa" w:w="1728"/>
            <w:vAlign w:val="top"/>
          </w:tcPr>
          <w:p>
            <w:pPr>
              <w:spacing w:after="0" w:before="0"/>
            </w:pPr>
            <w:r/>
            <w:r>
              <w:rPr>
                <w:rFonts w:ascii="Aptos" w:hAnsi="Aptos"/>
                <w:b w:val="0"/>
                <w:sz w:val="14"/>
              </w:rPr>
              <w:t>Group 1 + M05</w:t>
            </w:r>
          </w:p>
        </w:tc>
        <w:tc>
          <w:tcPr>
            <w:tcW w:type="dxa" w:w="3960"/>
            <w:vAlign w:val="top"/>
          </w:tcPr>
          <w:p>
            <w:pPr>
              <w:spacing w:after="0" w:before="0"/>
            </w:pPr>
            <w:r/>
            <w:r>
              <w:rPr>
                <w:rFonts w:ascii="Aptos" w:hAnsi="Aptos"/>
                <w:b w:val="0"/>
                <w:sz w:val="14"/>
              </w:rPr>
              <w:t>Confirm criticality scoring factors, scales, weightages, and whether assessment history is required in v1.</w:t>
            </w:r>
          </w:p>
        </w:tc>
        <w:tc>
          <w:tcPr>
            <w:tcW w:type="dxa" w:w="3168"/>
            <w:vAlign w:val="top"/>
          </w:tcPr>
          <w:p>
            <w:pPr>
              <w:spacing w:after="0" w:before="0"/>
            </w:pPr>
            <w:r/>
            <w:r>
              <w:rPr>
                <w:rFonts w:ascii="Aptos" w:hAnsi="Aptos"/>
                <w:b w:val="0"/>
                <w:sz w:val="14"/>
              </w:rPr>
              <w:t>Assessment schema is intentionally method-versioned.</w:t>
            </w:r>
          </w:p>
        </w:tc>
        <w:tc>
          <w:tcPr>
            <w:tcW w:type="dxa" w:w="936"/>
            <w:vAlign w:val="top"/>
          </w:tcPr>
          <w:p>
            <w:pPr>
              <w:spacing w:after="0" w:before="0"/>
            </w:pPr>
            <w:r/>
            <w:r>
              <w:rPr>
                <w:rFonts w:ascii="Aptos" w:hAnsi="Aptos"/>
                <w:b w:val="0"/>
                <w:sz w:val="14"/>
              </w:rPr>
              <w:t>Open</w:t>
            </w:r>
          </w:p>
        </w:tc>
      </w:tr>
      <w:tr>
        <w:trPr>
          <w:cantSplit/>
        </w:trPr>
        <w:tc>
          <w:tcPr>
            <w:tcW w:type="dxa" w:w="792"/>
            <w:vAlign w:val="top"/>
            <w:shd w:fill="F5F8FB"/>
          </w:tcPr>
          <w:p>
            <w:pPr>
              <w:spacing w:after="0" w:before="0"/>
            </w:pPr>
            <w:r/>
            <w:r>
              <w:rPr>
                <w:rFonts w:ascii="Aptos" w:hAnsi="Aptos"/>
                <w:b w:val="0"/>
                <w:sz w:val="14"/>
              </w:rPr>
              <w:t>Q08</w:t>
            </w:r>
          </w:p>
        </w:tc>
        <w:tc>
          <w:tcPr>
            <w:tcW w:type="dxa" w:w="1728"/>
            <w:vAlign w:val="top"/>
            <w:shd w:fill="F5F8FB"/>
          </w:tcPr>
          <w:p>
            <w:pPr>
              <w:spacing w:after="0" w:before="0"/>
            </w:pPr>
            <w:r/>
            <w:r>
              <w:rPr>
                <w:rFonts w:ascii="Aptos" w:hAnsi="Aptos"/>
                <w:b w:val="0"/>
                <w:sz w:val="14"/>
              </w:rPr>
              <w:t>Group 1 + domain reviewer</w:t>
            </w:r>
          </w:p>
        </w:tc>
        <w:tc>
          <w:tcPr>
            <w:tcW w:type="dxa" w:w="3960"/>
            <w:vAlign w:val="top"/>
            <w:shd w:fill="F5F8FB"/>
          </w:tcPr>
          <w:p>
            <w:pPr>
              <w:spacing w:after="0" w:before="0"/>
            </w:pPr>
            <w:r/>
            <w:r>
              <w:rPr>
                <w:rFonts w:ascii="Aptos" w:hAnsi="Aptos"/>
                <w:b w:val="0"/>
                <w:sz w:val="14"/>
              </w:rPr>
              <w:t>Confirm FMEA RPN method, scales and interpretation rules before storing calculated RPN.</w:t>
            </w:r>
          </w:p>
        </w:tc>
        <w:tc>
          <w:tcPr>
            <w:tcW w:type="dxa" w:w="3168"/>
            <w:vAlign w:val="top"/>
            <w:shd w:fill="F5F8FB"/>
          </w:tcPr>
          <w:p>
            <w:pPr>
              <w:spacing w:after="0" w:before="0"/>
            </w:pPr>
            <w:r/>
            <w:r>
              <w:rPr>
                <w:rFonts w:ascii="Aptos" w:hAnsi="Aptos"/>
                <w:b w:val="0"/>
                <w:sz w:val="14"/>
              </w:rPr>
              <w:t>Avoids embedding unapproved risk scoring logic.</w:t>
            </w:r>
          </w:p>
        </w:tc>
        <w:tc>
          <w:tcPr>
            <w:tcW w:type="dxa" w:w="936"/>
            <w:vAlign w:val="top"/>
            <w:shd w:fill="F5F8FB"/>
          </w:tcPr>
          <w:p>
            <w:pPr>
              <w:spacing w:after="0" w:before="0"/>
            </w:pPr>
            <w:r/>
            <w:r>
              <w:rPr>
                <w:rFonts w:ascii="Aptos" w:hAnsi="Aptos"/>
                <w:b w:val="0"/>
                <w:sz w:val="14"/>
              </w:rPr>
              <w:t>Open</w:t>
            </w:r>
          </w:p>
        </w:tc>
      </w:tr>
      <w:tr>
        <w:trPr>
          <w:cantSplit/>
        </w:trPr>
        <w:tc>
          <w:tcPr>
            <w:tcW w:type="dxa" w:w="792"/>
            <w:vAlign w:val="top"/>
          </w:tcPr>
          <w:p>
            <w:pPr>
              <w:spacing w:after="0" w:before="0"/>
            </w:pPr>
            <w:r/>
            <w:r>
              <w:rPr>
                <w:rFonts w:ascii="Aptos" w:hAnsi="Aptos"/>
                <w:b w:val="0"/>
                <w:sz w:val="14"/>
              </w:rPr>
              <w:t>Q09</w:t>
            </w:r>
          </w:p>
        </w:tc>
        <w:tc>
          <w:tcPr>
            <w:tcW w:type="dxa" w:w="1728"/>
            <w:vAlign w:val="top"/>
          </w:tcPr>
          <w:p>
            <w:pPr>
              <w:spacing w:after="0" w:before="0"/>
            </w:pPr>
            <w:r/>
            <w:r>
              <w:rPr>
                <w:rFonts w:ascii="Aptos" w:hAnsi="Aptos"/>
                <w:b w:val="0"/>
                <w:sz w:val="14"/>
              </w:rPr>
              <w:t>M05 + M06</w:t>
            </w:r>
          </w:p>
        </w:tc>
        <w:tc>
          <w:tcPr>
            <w:tcW w:type="dxa" w:w="3960"/>
            <w:vAlign w:val="top"/>
          </w:tcPr>
          <w:p>
            <w:pPr>
              <w:spacing w:after="0" w:before="0"/>
            </w:pPr>
            <w:r/>
            <w:r>
              <w:rPr>
                <w:rFonts w:ascii="Aptos" w:hAnsi="Aptos"/>
                <w:b w:val="0"/>
                <w:sz w:val="14"/>
              </w:rPr>
              <w:t>Confirm identifier strategy for asset nodes and hierarchy uniqueness rules (global vs parent-scoped).</w:t>
            </w:r>
          </w:p>
        </w:tc>
        <w:tc>
          <w:tcPr>
            <w:tcW w:type="dxa" w:w="3168"/>
            <w:vAlign w:val="top"/>
          </w:tcPr>
          <w:p>
            <w:pPr>
              <w:spacing w:after="0" w:before="0"/>
            </w:pPr>
            <w:r/>
            <w:r>
              <w:rPr>
                <w:rFonts w:ascii="Aptos" w:hAnsi="Aptos"/>
                <w:b w:val="0"/>
                <w:sz w:val="14"/>
              </w:rPr>
              <w:t>Affects PKs and UNIQUE constraints.</w:t>
            </w:r>
          </w:p>
        </w:tc>
        <w:tc>
          <w:tcPr>
            <w:tcW w:type="dxa" w:w="936"/>
            <w:vAlign w:val="top"/>
          </w:tcPr>
          <w:p>
            <w:pPr>
              <w:spacing w:after="0" w:before="0"/>
            </w:pPr>
            <w:r/>
            <w:r>
              <w:rPr>
                <w:rFonts w:ascii="Aptos" w:hAnsi="Aptos"/>
                <w:b w:val="0"/>
                <w:sz w:val="14"/>
              </w:rPr>
              <w:t>Open</w:t>
            </w:r>
          </w:p>
        </w:tc>
      </w:tr>
      <w:tr>
        <w:trPr>
          <w:cantSplit/>
        </w:trPr>
        <w:tc>
          <w:tcPr>
            <w:tcW w:type="dxa" w:w="792"/>
            <w:vAlign w:val="top"/>
            <w:shd w:fill="F5F8FB"/>
          </w:tcPr>
          <w:p>
            <w:pPr>
              <w:spacing w:after="0" w:before="0"/>
            </w:pPr>
            <w:r/>
            <w:r>
              <w:rPr>
                <w:rFonts w:ascii="Aptos" w:hAnsi="Aptos"/>
                <w:b w:val="0"/>
                <w:sz w:val="14"/>
              </w:rPr>
              <w:t>Q10</w:t>
            </w:r>
          </w:p>
        </w:tc>
        <w:tc>
          <w:tcPr>
            <w:tcW w:type="dxa" w:w="1728"/>
            <w:vAlign w:val="top"/>
            <w:shd w:fill="F5F8FB"/>
          </w:tcPr>
          <w:p>
            <w:pPr>
              <w:spacing w:after="0" w:before="0"/>
            </w:pPr>
            <w:r/>
            <w:r>
              <w:rPr>
                <w:rFonts w:ascii="Aptos" w:hAnsi="Aptos"/>
                <w:b w:val="0"/>
                <w:sz w:val="14"/>
              </w:rPr>
              <w:t>Groups 1 + 3 + 4</w:t>
            </w:r>
          </w:p>
        </w:tc>
        <w:tc>
          <w:tcPr>
            <w:tcW w:type="dxa" w:w="3960"/>
            <w:vAlign w:val="top"/>
            <w:shd w:fill="F5F8FB"/>
          </w:tcPr>
          <w:p>
            <w:pPr>
              <w:spacing w:after="0" w:before="0"/>
            </w:pPr>
            <w:r/>
            <w:r>
              <w:rPr>
                <w:rFonts w:ascii="Aptos" w:hAnsi="Aptos"/>
                <w:b w:val="0"/>
                <w:sz w:val="14"/>
              </w:rPr>
              <w:t>Record cross-group decisions and formal approval before marking architecture Approved.</w:t>
            </w:r>
          </w:p>
        </w:tc>
        <w:tc>
          <w:tcPr>
            <w:tcW w:type="dxa" w:w="3168"/>
            <w:vAlign w:val="top"/>
            <w:shd w:fill="F5F8FB"/>
          </w:tcPr>
          <w:p>
            <w:pPr>
              <w:spacing w:after="0" w:before="0"/>
            </w:pPr>
            <w:r/>
            <w:r>
              <w:rPr>
                <w:rFonts w:ascii="Aptos" w:hAnsi="Aptos"/>
                <w:b w:val="0"/>
                <w:sz w:val="14"/>
              </w:rPr>
              <w:t>Required by Epic 2 dependency and acceptance criteria.</w:t>
            </w:r>
          </w:p>
        </w:tc>
        <w:tc>
          <w:tcPr>
            <w:tcW w:type="dxa" w:w="936"/>
            <w:vAlign w:val="top"/>
            <w:shd w:fill="F5F8FB"/>
          </w:tcPr>
          <w:p>
            <w:pPr>
              <w:spacing w:after="0" w:before="0"/>
            </w:pPr>
            <w:r/>
            <w:r>
              <w:rPr>
                <w:rFonts w:ascii="Aptos" w:hAnsi="Aptos"/>
                <w:b w:val="0"/>
                <w:sz w:val="14"/>
              </w:rPr>
              <w:t>Open</w:t>
            </w:r>
          </w:p>
        </w:tc>
      </w:tr>
    </w:tbl>
    <w:p>
      <w:pPr>
        <w:spacing w:after="0"/>
      </w:pPr>
    </w:p>
    <w:p>
      <w:pPr>
        <w:pStyle w:val="Heading1"/>
        <w:keepNext/>
      </w:pPr>
      <w:r>
        <w:t>11. Cross-group handoff</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240"/>
            <w:shd w:fill="17365D"/>
            <w:vAlign w:val="top"/>
          </w:tcPr>
          <w:p>
            <w:pPr>
              <w:spacing w:after="0" w:before="0"/>
            </w:pPr>
            <w:r/>
            <w:r>
              <w:rPr>
                <w:rFonts w:ascii="Aptos" w:hAnsi="Aptos"/>
                <w:b/>
                <w:color w:val="FFFFFF"/>
                <w:sz w:val="16"/>
              </w:rPr>
              <w:t>Reviewer</w:t>
            </w:r>
          </w:p>
        </w:tc>
        <w:tc>
          <w:tcPr>
            <w:tcW w:type="dxa" w:w="7128"/>
            <w:shd w:fill="17365D"/>
            <w:vAlign w:val="top"/>
          </w:tcPr>
          <w:p>
            <w:pPr>
              <w:spacing w:after="0" w:before="0"/>
            </w:pPr>
            <w:r/>
            <w:r>
              <w:rPr>
                <w:rFonts w:ascii="Aptos" w:hAnsi="Aptos"/>
                <w:b/>
                <w:color w:val="FFFFFF"/>
                <w:sz w:val="16"/>
              </w:rPr>
              <w:t>Required feedback</w:t>
            </w:r>
          </w:p>
        </w:tc>
      </w:tr>
      <w:tr>
        <w:trPr>
          <w:cantSplit/>
        </w:trPr>
        <w:tc>
          <w:tcPr>
            <w:tcW w:type="dxa" w:w="3240"/>
            <w:vAlign w:val="top"/>
          </w:tcPr>
          <w:p>
            <w:pPr>
              <w:spacing w:after="0" w:before="0"/>
            </w:pPr>
            <w:r/>
            <w:r>
              <w:rPr>
                <w:rFonts w:ascii="Aptos" w:hAnsi="Aptos"/>
                <w:b w:val="0"/>
                <w:sz w:val="16"/>
              </w:rPr>
              <w:t>Group 1 — Domain Research</w:t>
            </w:r>
          </w:p>
        </w:tc>
        <w:tc>
          <w:tcPr>
            <w:tcW w:type="dxa" w:w="7128"/>
            <w:vAlign w:val="top"/>
          </w:tcPr>
          <w:p>
            <w:pPr>
              <w:spacing w:after="0" w:before="0"/>
            </w:pPr>
            <w:r/>
            <w:r>
              <w:rPr>
                <w:rFonts w:ascii="Aptos" w:hAnsi="Aptos"/>
                <w:b w:val="0"/>
                <w:sz w:val="16"/>
              </w:rPr>
              <w:t>Confirm hierarchy levels, naming conventions, taxonomy labels, failure-mode mappings and criticality/FMEA frameworks.</w:t>
            </w:r>
          </w:p>
        </w:tc>
      </w:tr>
      <w:tr>
        <w:trPr>
          <w:cantSplit/>
        </w:trPr>
        <w:tc>
          <w:tcPr>
            <w:tcW w:type="dxa" w:w="3240"/>
            <w:vAlign w:val="top"/>
            <w:shd w:fill="F5F8FB"/>
          </w:tcPr>
          <w:p>
            <w:pPr>
              <w:spacing w:after="0" w:before="0"/>
            </w:pPr>
            <w:r/>
            <w:r>
              <w:rPr>
                <w:rFonts w:ascii="Aptos" w:hAnsi="Aptos"/>
                <w:b w:val="0"/>
                <w:sz w:val="16"/>
              </w:rPr>
              <w:t>Group 3 — AI &amp; Retrieval</w:t>
            </w:r>
          </w:p>
        </w:tc>
        <w:tc>
          <w:tcPr>
            <w:tcW w:type="dxa" w:w="7128"/>
            <w:vAlign w:val="top"/>
            <w:shd w:fill="F5F8FB"/>
          </w:tcPr>
          <w:p>
            <w:pPr>
              <w:spacing w:after="0" w:before="0"/>
            </w:pPr>
            <w:r/>
            <w:r>
              <w:rPr>
                <w:rFonts w:ascii="Aptos" w:hAnsi="Aptos"/>
                <w:b w:val="0"/>
                <w:sz w:val="16"/>
              </w:rPr>
              <w:t>Confirm metadata filters, embedding text fields, retrieval eligibility contract and schema requirements.</w:t>
            </w:r>
          </w:p>
        </w:tc>
      </w:tr>
      <w:tr>
        <w:trPr>
          <w:cantSplit/>
        </w:trPr>
        <w:tc>
          <w:tcPr>
            <w:tcW w:type="dxa" w:w="3240"/>
            <w:vAlign w:val="top"/>
          </w:tcPr>
          <w:p>
            <w:pPr>
              <w:spacing w:after="0" w:before="0"/>
            </w:pPr>
            <w:r/>
            <w:r>
              <w:rPr>
                <w:rFonts w:ascii="Aptos" w:hAnsi="Aptos"/>
                <w:b w:val="0"/>
                <w:sz w:val="16"/>
              </w:rPr>
              <w:t>Group 4 — QA / Integration / DevOps</w:t>
            </w:r>
          </w:p>
        </w:tc>
        <w:tc>
          <w:tcPr>
            <w:tcW w:type="dxa" w:w="7128"/>
            <w:vAlign w:val="top"/>
          </w:tcPr>
          <w:p>
            <w:pPr>
              <w:spacing w:after="0" w:before="0"/>
            </w:pPr>
            <w:r/>
            <w:r>
              <w:rPr>
                <w:rFonts w:ascii="Aptos" w:hAnsi="Aptos"/>
                <w:b w:val="0"/>
                <w:sz w:val="16"/>
              </w:rPr>
              <w:t>Confirm consistency checks, test evidence, versioning and integration acceptance evidence.</w:t>
            </w:r>
          </w:p>
        </w:tc>
      </w:tr>
      <w:tr>
        <w:trPr>
          <w:cantSplit/>
        </w:trPr>
        <w:tc>
          <w:tcPr>
            <w:tcW w:type="dxa" w:w="3240"/>
            <w:vAlign w:val="top"/>
            <w:shd w:fill="F5F8FB"/>
          </w:tcPr>
          <w:p>
            <w:pPr>
              <w:spacing w:after="0" w:before="0"/>
            </w:pPr>
            <w:r/>
            <w:r>
              <w:rPr>
                <w:rFonts w:ascii="Aptos" w:hAnsi="Aptos"/>
                <w:b w:val="0"/>
                <w:sz w:val="16"/>
              </w:rPr>
              <w:t>M05 — PostgreSQL Schema &amp; Constraints</w:t>
            </w:r>
          </w:p>
        </w:tc>
        <w:tc>
          <w:tcPr>
            <w:tcW w:type="dxa" w:w="7128"/>
            <w:vAlign w:val="top"/>
            <w:shd w:fill="F5F8FB"/>
          </w:tcPr>
          <w:p>
            <w:pPr>
              <w:spacing w:after="0" w:before="0"/>
            </w:pPr>
            <w:r/>
            <w:r>
              <w:rPr>
                <w:rFonts w:ascii="Aptos" w:hAnsi="Aptos"/>
                <w:b w:val="0"/>
                <w:sz w:val="16"/>
              </w:rPr>
              <w:t>Review entity boundaries, PostgreSQL types, PK/FK rules, unique constraints, delete behavior and migration feasibility.</w:t>
            </w:r>
          </w:p>
        </w:tc>
      </w:tr>
      <w:tr>
        <w:trPr>
          <w:cantSplit/>
        </w:trPr>
        <w:tc>
          <w:tcPr>
            <w:tcW w:type="dxa" w:w="3240"/>
            <w:vAlign w:val="top"/>
          </w:tcPr>
          <w:p>
            <w:pPr>
              <w:spacing w:after="0" w:before="0"/>
            </w:pPr>
            <w:r/>
            <w:r>
              <w:rPr>
                <w:rFonts w:ascii="Aptos" w:hAnsi="Aptos"/>
                <w:b w:val="0"/>
                <w:sz w:val="16"/>
              </w:rPr>
              <w:t>M06 — Asset Hierarchy &amp; Metadata</w:t>
            </w:r>
          </w:p>
        </w:tc>
        <w:tc>
          <w:tcPr>
            <w:tcW w:type="dxa" w:w="7128"/>
            <w:vAlign w:val="top"/>
          </w:tcPr>
          <w:p>
            <w:pPr>
              <w:spacing w:after="0" w:before="0"/>
            </w:pPr>
            <w:r/>
            <w:r>
              <w:rPr>
                <w:rFonts w:ascii="Aptos" w:hAnsi="Aptos"/>
                <w:b w:val="0"/>
                <w:sz w:val="16"/>
              </w:rPr>
              <w:t>Confirm asset identifiers, hierarchy-node semantics, component representation and uniqueness scope.</w:t>
            </w:r>
          </w:p>
        </w:tc>
      </w:tr>
    </w:tbl>
    <w:p>
      <w:pPr>
        <w:spacing w:after="0"/>
      </w:pPr>
    </w:p>
    <w:p>
      <w:r>
        <w:t>Approval record: No formal sign-off has been supplied. Record each reviewer, decision, date and agreed change in the shared issue or pull request before marking this design approved.</w:t>
      </w:r>
    </w:p>
    <w:p>
      <w:pPr/>
      <w:r>
        <w:t>Implementation approval gate: Do not mark M04 Approved until the Common Data Model version, hierarchy contract, taxonomy mappings, retrieval metadata and scoring rules have named owners and recorded decisions. M04 v1.2 is a reconciled review package, not a substitute for those approvals.</w:t>
      </w:r>
    </w:p>
    <w:p>
      <w:pPr>
        <w:pStyle w:val="Heading1"/>
        <w:keepNext/>
      </w:pPr>
      <w:r>
        <w:t>12. M04 completion checklist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6624"/>
            <w:shd w:fill="17365D"/>
            <w:vAlign w:val="top"/>
          </w:tcPr>
          <w:p>
            <w:pPr>
              <w:spacing w:after="0" w:before="0"/>
            </w:pPr>
            <w:r/>
            <w:r>
              <w:rPr>
                <w:rFonts w:ascii="Aptos" w:hAnsi="Aptos"/>
                <w:b/>
                <w:color w:val="FFFFFF"/>
                <w:sz w:val="17"/>
              </w:rPr>
              <w:t>Deliverable / checkpoint</w:t>
            </w:r>
          </w:p>
        </w:tc>
        <w:tc>
          <w:tcPr>
            <w:tcW w:type="dxa" w:w="3744"/>
            <w:shd w:fill="17365D"/>
            <w:vAlign w:val="top"/>
          </w:tcPr>
          <w:p>
            <w:pPr>
              <w:spacing w:after="0" w:before="0"/>
            </w:pPr>
            <w:r/>
            <w:r>
              <w:rPr>
                <w:rFonts w:ascii="Aptos" w:hAnsi="Aptos"/>
                <w:b/>
                <w:color w:val="FFFFFF"/>
                <w:sz w:val="17"/>
              </w:rPr>
              <w:t>Status</w:t>
            </w:r>
          </w:p>
        </w:tc>
      </w:tr>
      <w:tr>
        <w:trPr>
          <w:cantSplit/>
        </w:trPr>
        <w:tc>
          <w:tcPr>
            <w:tcW w:type="dxa" w:w="6624"/>
            <w:vAlign w:val="top"/>
          </w:tcPr>
          <w:p>
            <w:pPr>
              <w:spacing w:after="0" w:before="0"/>
            </w:pPr>
            <w:r/>
            <w:r>
              <w:rPr>
                <w:rFonts w:ascii="Aptos" w:hAnsi="Aptos"/>
                <w:b w:val="0"/>
                <w:sz w:val="17"/>
              </w:rPr>
              <w:t>Entity inventory and purposes</w:t>
            </w:r>
          </w:p>
        </w:tc>
        <w:tc>
          <w:tcPr>
            <w:tcW w:type="dxa" w:w="3744"/>
            <w:vAlign w:val="top"/>
          </w:tcPr>
          <w:p>
            <w:pPr>
              <w:spacing w:after="0" w:before="0"/>
            </w:pPr>
            <w:r/>
            <w:r>
              <w:rPr>
                <w:rFonts w:ascii="Aptos" w:hAnsi="Aptos"/>
                <w:b w:val="0"/>
                <w:sz w:val="17"/>
              </w:rPr>
              <w:t>Included</w:t>
            </w:r>
          </w:p>
        </w:tc>
      </w:tr>
      <w:tr>
        <w:trPr>
          <w:cantSplit/>
        </w:trPr>
        <w:tc>
          <w:tcPr>
            <w:tcW w:type="dxa" w:w="6624"/>
            <w:vAlign w:val="top"/>
            <w:shd w:fill="F5F8FB"/>
          </w:tcPr>
          <w:p>
            <w:pPr>
              <w:spacing w:after="0" w:before="0"/>
            </w:pPr>
            <w:r/>
            <w:r>
              <w:rPr>
                <w:rFonts w:ascii="Aptos" w:hAnsi="Aptos"/>
                <w:b w:val="0"/>
                <w:sz w:val="17"/>
              </w:rPr>
              <w:t>PK/FK intent and relationship cardinality</w:t>
            </w:r>
          </w:p>
        </w:tc>
        <w:tc>
          <w:tcPr>
            <w:tcW w:type="dxa" w:w="3744"/>
            <w:vAlign w:val="top"/>
            <w:shd w:fill="F5F8FB"/>
          </w:tcPr>
          <w:p>
            <w:pPr>
              <w:spacing w:after="0" w:before="0"/>
            </w:pPr>
            <w:r/>
            <w:r>
              <w:rPr>
                <w:rFonts w:ascii="Aptos" w:hAnsi="Aptos"/>
                <w:b w:val="0"/>
                <w:sz w:val="17"/>
              </w:rPr>
              <w:t>Included</w:t>
            </w:r>
          </w:p>
        </w:tc>
      </w:tr>
      <w:tr>
        <w:trPr>
          <w:cantSplit/>
        </w:trPr>
        <w:tc>
          <w:tcPr>
            <w:tcW w:type="dxa" w:w="6624"/>
            <w:vAlign w:val="top"/>
          </w:tcPr>
          <w:p>
            <w:pPr>
              <w:spacing w:after="0" w:before="0"/>
            </w:pPr>
            <w:r/>
            <w:r>
              <w:rPr>
                <w:rFonts w:ascii="Aptos" w:hAnsi="Aptos"/>
                <w:b w:val="0"/>
                <w:sz w:val="17"/>
              </w:rPr>
              <w:t>ERD images and editable source</w:t>
            </w:r>
          </w:p>
        </w:tc>
        <w:tc>
          <w:tcPr>
            <w:tcW w:type="dxa" w:w="3744"/>
            <w:vAlign w:val="top"/>
          </w:tcPr>
          <w:p>
            <w:pPr>
              <w:spacing w:after="0" w:before="0"/>
            </w:pPr>
            <w:r/>
            <w:r>
              <w:rPr>
                <w:rFonts w:ascii="Aptos" w:hAnsi="Aptos"/>
                <w:b w:val="0"/>
                <w:sz w:val="17"/>
              </w:rPr>
              <w:t>Included</w:t>
            </w:r>
          </w:p>
        </w:tc>
      </w:tr>
      <w:tr>
        <w:trPr>
          <w:cantSplit/>
        </w:trPr>
        <w:tc>
          <w:tcPr>
            <w:tcW w:type="dxa" w:w="6624"/>
            <w:vAlign w:val="top"/>
            <w:shd w:fill="F5F8FB"/>
          </w:tcPr>
          <w:p>
            <w:pPr>
              <w:spacing w:after="0" w:before="0"/>
            </w:pPr>
            <w:r/>
            <w:r>
              <w:rPr>
                <w:rFonts w:ascii="Aptos" w:hAnsi="Aptos"/>
                <w:b w:val="0"/>
                <w:sz w:val="17"/>
              </w:rPr>
              <w:t>Workbook-to-entity field mapping</w:t>
            </w:r>
          </w:p>
        </w:tc>
        <w:tc>
          <w:tcPr>
            <w:tcW w:type="dxa" w:w="3744"/>
            <w:vAlign w:val="top"/>
            <w:shd w:fill="F5F8FB"/>
          </w:tcPr>
          <w:p>
            <w:pPr>
              <w:spacing w:after="0" w:before="0"/>
            </w:pPr>
            <w:r/>
            <w:r>
              <w:rPr>
                <w:rFonts w:ascii="Aptos" w:hAnsi="Aptos"/>
                <w:b w:val="0"/>
                <w:sz w:val="17"/>
              </w:rPr>
              <w:t>Included in companion workbook</w:t>
            </w:r>
          </w:p>
        </w:tc>
      </w:tr>
      <w:tr>
        <w:trPr>
          <w:cantSplit/>
        </w:trPr>
        <w:tc>
          <w:tcPr>
            <w:tcW w:type="dxa" w:w="6624"/>
            <w:vAlign w:val="top"/>
          </w:tcPr>
          <w:p>
            <w:pPr>
              <w:spacing w:after="0" w:before="0"/>
            </w:pPr>
            <w:r/>
            <w:r>
              <w:rPr>
                <w:rFonts w:ascii="Aptos" w:hAnsi="Aptos"/>
                <w:b w:val="0"/>
                <w:sz w:val="17"/>
              </w:rPr>
              <w:t>Source-data audit and known quality gaps</w:t>
            </w:r>
          </w:p>
        </w:tc>
        <w:tc>
          <w:tcPr>
            <w:tcW w:type="dxa" w:w="3744"/>
            <w:vAlign w:val="top"/>
          </w:tcPr>
          <w:p>
            <w:pPr>
              <w:spacing w:after="0" w:before="0"/>
            </w:pPr>
            <w:r/>
            <w:r>
              <w:rPr>
                <w:rFonts w:ascii="Aptos" w:hAnsi="Aptos"/>
                <w:b w:val="0"/>
                <w:sz w:val="17"/>
              </w:rPr>
              <w:t>Included</w:t>
            </w:r>
          </w:p>
        </w:tc>
      </w:tr>
      <w:tr>
        <w:trPr>
          <w:cantSplit/>
        </w:trPr>
        <w:tc>
          <w:tcPr>
            <w:tcW w:type="dxa" w:w="6624"/>
            <w:vAlign w:val="top"/>
            <w:shd w:fill="F5F8FB"/>
          </w:tcPr>
          <w:p>
            <w:pPr>
              <w:spacing w:after="0" w:before="0"/>
            </w:pPr>
            <w:r/>
            <w:r>
              <w:rPr>
                <w:rFonts w:ascii="Aptos" w:hAnsi="Aptos"/>
                <w:b w:val="0"/>
                <w:sz w:val="17"/>
              </w:rPr>
              <w:t>Assumptions and cross-group questions</w:t>
            </w:r>
          </w:p>
        </w:tc>
        <w:tc>
          <w:tcPr>
            <w:tcW w:type="dxa" w:w="3744"/>
            <w:vAlign w:val="top"/>
            <w:shd w:fill="F5F8FB"/>
          </w:tcPr>
          <w:p>
            <w:pPr>
              <w:spacing w:after="0" w:before="0"/>
            </w:pPr>
            <w:r/>
            <w:r>
              <w:rPr>
                <w:rFonts w:ascii="Aptos" w:hAnsi="Aptos"/>
                <w:b w:val="0"/>
                <w:sz w:val="17"/>
              </w:rPr>
              <w:t>Included</w:t>
            </w:r>
          </w:p>
        </w:tc>
      </w:tr>
      <w:tr>
        <w:trPr>
          <w:cantSplit/>
        </w:trPr>
        <w:tc>
          <w:tcPr>
            <w:tcW w:type="dxa" w:w="6624"/>
            <w:vAlign w:val="top"/>
          </w:tcPr>
          <w:p>
            <w:pPr>
              <w:spacing w:after="0" w:before="0"/>
            </w:pPr>
            <w:r/>
            <w:r>
              <w:rPr>
                <w:rFonts w:ascii="Aptos" w:hAnsi="Aptos"/>
                <w:b w:val="0"/>
                <w:sz w:val="17"/>
              </w:rPr>
              <w:t>PostgreSQL implementation</w:t>
            </w:r>
          </w:p>
        </w:tc>
        <w:tc>
          <w:tcPr>
            <w:tcW w:type="dxa" w:w="3744"/>
            <w:vAlign w:val="top"/>
          </w:tcPr>
          <w:p>
            <w:pPr>
              <w:spacing w:after="0" w:before="0"/>
            </w:pPr>
            <w:r/>
            <w:r>
              <w:rPr>
                <w:rFonts w:ascii="Aptos" w:hAnsi="Aptos"/>
                <w:b w:val="0"/>
                <w:sz w:val="17"/>
              </w:rPr>
              <w:t>M05 responsibility; not part of M04 design artifact</w:t>
            </w:r>
          </w:p>
        </w:tc>
      </w:tr>
      <w:tr>
        <w:trPr>
          <w:cantSplit/>
        </w:trPr>
        <w:tc>
          <w:tcPr>
            <w:tcW w:type="dxa" w:w="6624"/>
            <w:vAlign w:val="top"/>
            <w:shd w:fill="F5F8FB"/>
          </w:tcPr>
          <w:p>
            <w:pPr>
              <w:spacing w:after="0" w:before="0"/>
            </w:pPr>
            <w:r/>
            <w:r>
              <w:rPr>
                <w:rFonts w:ascii="Aptos" w:hAnsi="Aptos"/>
                <w:b w:val="0"/>
                <w:sz w:val="17"/>
              </w:rPr>
              <w:t>Formal Common Data Model approval</w:t>
            </w:r>
          </w:p>
        </w:tc>
        <w:tc>
          <w:tcPr>
            <w:tcW w:type="dxa" w:w="3744"/>
            <w:vAlign w:val="top"/>
            <w:shd w:fill="F5F8FB"/>
          </w:tcPr>
          <w:p>
            <w:pPr>
              <w:spacing w:after="0" w:before="0"/>
            </w:pPr>
            <w:r/>
            <w:r>
              <w:rPr>
                <w:rFonts w:ascii="Aptos" w:hAnsi="Aptos"/>
                <w:b w:val="0"/>
                <w:sz w:val="17"/>
              </w:rPr>
              <w:t>Pending relevant group review</w:t>
            </w:r>
          </w:p>
        </w:tc>
      </w:tr>
    </w:tbl>
    <w:p>
      <w:pPr>
        <w:spacing w:after="0"/>
      </w:pPr>
    </w:p>
    <w:p>
      <w:pPr>
        <w:pStyle w:val="Heading1"/>
        <w:keepNext/>
      </w:pPr>
      <w:r>
        <w:t>Appendix A. Terms used in this document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17365D"/>
            <w:vAlign w:val="top"/>
          </w:tcPr>
          <w:p>
            <w:pPr>
              <w:spacing w:after="0" w:before="0"/>
            </w:pPr>
            <w:r/>
            <w:r>
              <w:rPr>
                <w:rFonts w:ascii="Aptos" w:hAnsi="Aptos"/>
                <w:b/>
                <w:color w:val="FFFFFF"/>
                <w:sz w:val="16"/>
              </w:rPr>
              <w:t>Term</w:t>
            </w:r>
          </w:p>
        </w:tc>
        <w:tc>
          <w:tcPr>
            <w:tcW w:type="dxa" w:w="7992"/>
            <w:shd w:fill="17365D"/>
            <w:vAlign w:val="top"/>
          </w:tcPr>
          <w:p>
            <w:pPr>
              <w:spacing w:after="0" w:before="0"/>
            </w:pPr>
            <w:r/>
            <w:r>
              <w:rPr>
                <w:rFonts w:ascii="Aptos" w:hAnsi="Aptos"/>
                <w:b/>
                <w:color w:val="FFFFFF"/>
                <w:sz w:val="16"/>
              </w:rPr>
              <w:t>Definition</w:t>
            </w:r>
          </w:p>
        </w:tc>
      </w:tr>
      <w:tr>
        <w:trPr>
          <w:cantSplit/>
        </w:trPr>
        <w:tc>
          <w:tcPr>
            <w:tcW w:type="dxa" w:w="2376"/>
            <w:vAlign w:val="top"/>
          </w:tcPr>
          <w:p>
            <w:pPr>
              <w:spacing w:after="0" w:before="0"/>
            </w:pPr>
            <w:r/>
            <w:r>
              <w:rPr>
                <w:rFonts w:ascii="Aptos" w:hAnsi="Aptos"/>
                <w:b w:val="0"/>
                <w:sz w:val="16"/>
              </w:rPr>
              <w:t>Entity</w:t>
            </w:r>
          </w:p>
        </w:tc>
        <w:tc>
          <w:tcPr>
            <w:tcW w:type="dxa" w:w="7992"/>
            <w:vAlign w:val="top"/>
          </w:tcPr>
          <w:p>
            <w:pPr>
              <w:spacing w:after="0" w:before="0"/>
            </w:pPr>
            <w:r/>
            <w:r>
              <w:rPr>
                <w:rFonts w:ascii="Aptos" w:hAnsi="Aptos"/>
                <w:b w:val="0"/>
                <w:sz w:val="16"/>
              </w:rPr>
              <w:t>A category of information stored as a database table.</w:t>
            </w:r>
          </w:p>
        </w:tc>
      </w:tr>
      <w:tr>
        <w:trPr>
          <w:cantSplit/>
        </w:trPr>
        <w:tc>
          <w:tcPr>
            <w:tcW w:type="dxa" w:w="2376"/>
            <w:vAlign w:val="top"/>
            <w:shd w:fill="F5F8FB"/>
          </w:tcPr>
          <w:p>
            <w:pPr>
              <w:spacing w:after="0" w:before="0"/>
            </w:pPr>
            <w:r/>
            <w:r>
              <w:rPr>
                <w:rFonts w:ascii="Aptos" w:hAnsi="Aptos"/>
                <w:b w:val="0"/>
                <w:sz w:val="16"/>
              </w:rPr>
              <w:t>Attribute</w:t>
            </w:r>
          </w:p>
        </w:tc>
        <w:tc>
          <w:tcPr>
            <w:tcW w:type="dxa" w:w="7992"/>
            <w:vAlign w:val="top"/>
            <w:shd w:fill="F5F8FB"/>
          </w:tcPr>
          <w:p>
            <w:pPr>
              <w:spacing w:after="0" w:before="0"/>
            </w:pPr>
            <w:r/>
            <w:r>
              <w:rPr>
                <w:rFonts w:ascii="Aptos" w:hAnsi="Aptos"/>
                <w:b w:val="0"/>
                <w:sz w:val="16"/>
              </w:rPr>
              <w:t>A field/column describing an entity.</w:t>
            </w:r>
          </w:p>
        </w:tc>
      </w:tr>
      <w:tr>
        <w:trPr>
          <w:cantSplit/>
        </w:trPr>
        <w:tc>
          <w:tcPr>
            <w:tcW w:type="dxa" w:w="2376"/>
            <w:vAlign w:val="top"/>
          </w:tcPr>
          <w:p>
            <w:pPr>
              <w:spacing w:after="0" w:before="0"/>
            </w:pPr>
            <w:r/>
            <w:r>
              <w:rPr>
                <w:rFonts w:ascii="Aptos" w:hAnsi="Aptos"/>
                <w:b w:val="0"/>
                <w:sz w:val="16"/>
              </w:rPr>
              <w:t>Primary key (PK)</w:t>
            </w:r>
          </w:p>
        </w:tc>
        <w:tc>
          <w:tcPr>
            <w:tcW w:type="dxa" w:w="7992"/>
            <w:vAlign w:val="top"/>
          </w:tcPr>
          <w:p>
            <w:pPr>
              <w:spacing w:after="0" w:before="0"/>
            </w:pPr>
            <w:r/>
            <w:r>
              <w:rPr>
                <w:rFonts w:ascii="Aptos" w:hAnsi="Aptos"/>
                <w:b w:val="0"/>
                <w:sz w:val="16"/>
              </w:rPr>
              <w:t>A field or field combination that uniquely identifies a row.</w:t>
            </w:r>
          </w:p>
        </w:tc>
      </w:tr>
      <w:tr>
        <w:trPr>
          <w:cantSplit/>
        </w:trPr>
        <w:tc>
          <w:tcPr>
            <w:tcW w:type="dxa" w:w="2376"/>
            <w:vAlign w:val="top"/>
            <w:shd w:fill="F5F8FB"/>
          </w:tcPr>
          <w:p>
            <w:pPr>
              <w:spacing w:after="0" w:before="0"/>
            </w:pPr>
            <w:r/>
            <w:r>
              <w:rPr>
                <w:rFonts w:ascii="Aptos" w:hAnsi="Aptos"/>
                <w:b w:val="0"/>
                <w:sz w:val="16"/>
              </w:rPr>
              <w:t>Foreign key (FK)</w:t>
            </w:r>
          </w:p>
        </w:tc>
        <w:tc>
          <w:tcPr>
            <w:tcW w:type="dxa" w:w="7992"/>
            <w:vAlign w:val="top"/>
            <w:shd w:fill="F5F8FB"/>
          </w:tcPr>
          <w:p>
            <w:pPr>
              <w:spacing w:after="0" w:before="0"/>
            </w:pPr>
            <w:r/>
            <w:r>
              <w:rPr>
                <w:rFonts w:ascii="Aptos" w:hAnsi="Aptos"/>
                <w:b w:val="0"/>
                <w:sz w:val="16"/>
              </w:rPr>
              <w:t>A reference to a row in another table, used to maintain valid connections.</w:t>
            </w:r>
          </w:p>
        </w:tc>
      </w:tr>
      <w:tr>
        <w:trPr>
          <w:cantSplit/>
        </w:trPr>
        <w:tc>
          <w:tcPr>
            <w:tcW w:type="dxa" w:w="2376"/>
            <w:vAlign w:val="top"/>
          </w:tcPr>
          <w:p>
            <w:pPr>
              <w:spacing w:after="0" w:before="0"/>
            </w:pPr>
            <w:r/>
            <w:r>
              <w:rPr>
                <w:rFonts w:ascii="Aptos" w:hAnsi="Aptos"/>
                <w:b w:val="0"/>
                <w:sz w:val="16"/>
              </w:rPr>
              <w:t>Cardinality</w:t>
            </w:r>
          </w:p>
        </w:tc>
        <w:tc>
          <w:tcPr>
            <w:tcW w:type="dxa" w:w="7992"/>
            <w:vAlign w:val="top"/>
          </w:tcPr>
          <w:p>
            <w:pPr>
              <w:spacing w:after="0" w:before="0"/>
            </w:pPr>
            <w:r/>
            <w:r>
              <w:rPr>
                <w:rFonts w:ascii="Aptos" w:hAnsi="Aptos"/>
                <w:b w:val="0"/>
                <w:sz w:val="16"/>
              </w:rPr>
              <w:t>The allowed number of records participating in a relationship.</w:t>
            </w:r>
          </w:p>
        </w:tc>
      </w:tr>
      <w:tr>
        <w:trPr>
          <w:cantSplit/>
        </w:trPr>
        <w:tc>
          <w:tcPr>
            <w:tcW w:type="dxa" w:w="2376"/>
            <w:vAlign w:val="top"/>
            <w:shd w:fill="F5F8FB"/>
          </w:tcPr>
          <w:p>
            <w:pPr>
              <w:spacing w:after="0" w:before="0"/>
            </w:pPr>
            <w:r/>
            <w:r>
              <w:rPr>
                <w:rFonts w:ascii="Aptos" w:hAnsi="Aptos"/>
                <w:b w:val="0"/>
                <w:sz w:val="16"/>
              </w:rPr>
              <w:t>Bridge table</w:t>
            </w:r>
          </w:p>
        </w:tc>
        <w:tc>
          <w:tcPr>
            <w:tcW w:type="dxa" w:w="7992"/>
            <w:vAlign w:val="top"/>
            <w:shd w:fill="F5F8FB"/>
          </w:tcPr>
          <w:p>
            <w:pPr>
              <w:spacing w:after="0" w:before="0"/>
            </w:pPr>
            <w:r/>
            <w:r>
              <w:rPr>
                <w:rFonts w:ascii="Aptos" w:hAnsi="Aptos"/>
                <w:b w:val="0"/>
                <w:sz w:val="16"/>
              </w:rPr>
              <w:t>A table used to connect two entities when each can relate to many records of the other.</w:t>
            </w:r>
          </w:p>
        </w:tc>
      </w:tr>
      <w:tr>
        <w:trPr>
          <w:cantSplit/>
        </w:trPr>
        <w:tc>
          <w:tcPr>
            <w:tcW w:type="dxa" w:w="2376"/>
            <w:vAlign w:val="top"/>
          </w:tcPr>
          <w:p>
            <w:pPr>
              <w:spacing w:after="0" w:before="0"/>
            </w:pPr>
            <w:r/>
            <w:r>
              <w:rPr>
                <w:rFonts w:ascii="Aptos" w:hAnsi="Aptos"/>
                <w:b w:val="0"/>
                <w:sz w:val="16"/>
              </w:rPr>
              <w:t>Synthetic scenario</w:t>
            </w:r>
          </w:p>
        </w:tc>
        <w:tc>
          <w:tcPr>
            <w:tcW w:type="dxa" w:w="7992"/>
            <w:vAlign w:val="top"/>
          </w:tcPr>
          <w:p>
            <w:pPr>
              <w:spacing w:after="0" w:before="0"/>
            </w:pPr>
            <w:r/>
            <w:r>
              <w:rPr>
                <w:rFonts w:ascii="Aptos" w:hAnsi="Aptos"/>
                <w:b w:val="0"/>
                <w:sz w:val="16"/>
              </w:rPr>
              <w:t>An illustrative case, not evidence of an actual industrial incident.</w:t>
            </w:r>
          </w:p>
        </w:tc>
      </w:tr>
      <w:tr>
        <w:trPr>
          <w:cantSplit/>
        </w:trPr>
        <w:tc>
          <w:tcPr>
            <w:tcW w:type="dxa" w:w="2376"/>
            <w:vAlign w:val="top"/>
            <w:shd w:fill="F5F8FB"/>
          </w:tcPr>
          <w:p>
            <w:pPr>
              <w:spacing w:after="0" w:before="0"/>
            </w:pPr>
            <w:r/>
            <w:r>
              <w:rPr>
                <w:rFonts w:ascii="Aptos" w:hAnsi="Aptos"/>
                <w:b w:val="0"/>
                <w:sz w:val="16"/>
              </w:rPr>
              <w:t>RPN</w:t>
            </w:r>
          </w:p>
        </w:tc>
        <w:tc>
          <w:tcPr>
            <w:tcW w:type="dxa" w:w="7992"/>
            <w:vAlign w:val="top"/>
            <w:shd w:fill="F5F8FB"/>
          </w:tcPr>
          <w:p>
            <w:pPr>
              <w:spacing w:after="0" w:before="0"/>
            </w:pPr>
            <w:r/>
            <w:r>
              <w:rPr>
                <w:rFonts w:ascii="Aptos" w:hAnsi="Aptos"/>
                <w:b w:val="0"/>
                <w:sz w:val="16"/>
              </w:rPr>
              <w:t>Risk Priority Number; typically derived from Severity × Occurrence × Detection, subject to the approved FMEA method.</w:t>
            </w:r>
          </w:p>
        </w:tc>
      </w:tr>
      <w:tr>
        <w:trPr>
          <w:cantSplit/>
        </w:trPr>
        <w:tc>
          <w:tcPr>
            <w:tcW w:type="dxa" w:w="2376"/>
            <w:vAlign w:val="top"/>
          </w:tcPr>
          <w:p>
            <w:pPr>
              <w:spacing w:after="0" w:before="0"/>
            </w:pPr>
            <w:r/>
            <w:r>
              <w:rPr>
                <w:rFonts w:ascii="Aptos" w:hAnsi="Aptos"/>
                <w:b w:val="0"/>
                <w:sz w:val="16"/>
              </w:rPr>
              <w:t>LOTO</w:t>
            </w:r>
          </w:p>
        </w:tc>
        <w:tc>
          <w:tcPr>
            <w:tcW w:type="dxa" w:w="7992"/>
            <w:vAlign w:val="top"/>
          </w:tcPr>
          <w:p>
            <w:pPr>
              <w:spacing w:after="0" w:before="0"/>
            </w:pPr>
            <w:r/>
            <w:r>
              <w:rPr>
                <w:rFonts w:ascii="Aptos" w:hAnsi="Aptos"/>
                <w:b w:val="0"/>
                <w:sz w:val="16"/>
              </w:rPr>
              <w:t>Lockout/tagout: an energy-isolation procedure. Site-approved safety procedures take precedence.</w:t>
            </w:r>
          </w:p>
        </w:tc>
      </w:tr>
      <w:tr>
        <w:trPr>
          <w:cantSplit/>
        </w:trPr>
        <w:tc>
          <w:tcPr>
            <w:tcW w:type="dxa" w:w="2376"/>
            <w:vAlign w:val="top"/>
            <w:shd w:fill="F5F8FB"/>
          </w:tcPr>
          <w:p>
            <w:pPr>
              <w:spacing w:after="0" w:before="0"/>
            </w:pPr>
            <w:r/>
            <w:r>
              <w:rPr>
                <w:rFonts w:ascii="Aptos" w:hAnsi="Aptos"/>
                <w:b w:val="0"/>
                <w:sz w:val="16"/>
              </w:rPr>
              <w:t>Retrieval eligibility</w:t>
            </w:r>
          </w:p>
        </w:tc>
        <w:tc>
          <w:tcPr>
            <w:tcW w:type="dxa" w:w="7992"/>
            <w:vAlign w:val="top"/>
            <w:shd w:fill="F5F8FB"/>
          </w:tcPr>
          <w:p>
            <w:pPr>
              <w:spacing w:after="0" w:before="0"/>
            </w:pPr>
            <w:r/>
            <w:r>
              <w:rPr>
                <w:rFonts w:ascii="Aptos" w:hAnsi="Aptos"/>
                <w:b w:val="0"/>
                <w:sz w:val="16"/>
              </w:rPr>
              <w:t>A rule indicating whether a case is allowed into the retrieval/recommendation flow.</w:t>
            </w:r>
          </w:p>
        </w:tc>
      </w:tr>
    </w:tbl>
    <w:p>
      <w:pPr>
        <w:spacing w:after="0"/>
      </w:pPr>
    </w:p>
    <w:sectPr w:rsidR="00FC693F" w:rsidRPr="0006063C" w:rsidSect="00034616">
      <w:pgSz w:w="12240" w:h="15840"/>
      <w:pgMar w:top="936" w:right="1037" w:bottom="936"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ptos"/>
      <w:color w:val="232A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5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F4E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Sense — M04 Database Architecture</dc:title>
  <dc:subject>Logical data model and cross-group review</dc:subject>
  <dc:creator>Operational Sense — M04</dc:creator>
  <cp:keywords>Operational Sense, M04, database architecture, ERD</cp:keywords>
  <dc:description>generated by python-docx</dc:description>
  <cp:lastModifiedBy/>
  <cp:revision>1</cp:revision>
  <dcterms:created xsi:type="dcterms:W3CDTF">2013-12-23T23:15:00Z</dcterms:created>
  <dcterms:modified xsi:type="dcterms:W3CDTF">2013-12-23T23:15:00Z</dcterms:modified>
  <cp:category/>
</cp:coreProperties>
</file>