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Daniel Santos Paredes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Nacional de Control y Fiscalización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118063B00040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