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13/09/2022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Leonardo Elias Melluso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1150039492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HWGYHG3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