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Mariana Soledad Segura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Recursos Humanos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5520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1150039683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HMDIVG3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